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62" w:afterLines="20" w:line="360" w:lineRule="auto"/>
        <w:jc w:val="right"/>
        <w:rPr>
          <w:rFonts w:ascii="楷体" w:hAnsi="楷体" w:eastAsia="楷体"/>
          <w:color w:val="000000"/>
        </w:rPr>
      </w:pPr>
      <w:r>
        <w:rPr>
          <w:rFonts w:ascii="楷体" w:hAnsi="楷体" w:eastAsia="楷体"/>
          <w:color w:val="000000"/>
        </w:rPr>
        <w:t xml:space="preserve"> 编号</w:t>
      </w:r>
      <w:r>
        <w:rPr>
          <w:rFonts w:hint="eastAsia" w:ascii="楷体" w:hAnsi="楷体" w:eastAsia="楷体"/>
          <w:color w:val="000000"/>
        </w:rPr>
        <w:t>：【</w:t>
      </w:r>
      <w:r>
        <w:rPr>
          <w:rFonts w:ascii="楷体" w:hAnsi="楷体" w:eastAsia="楷体"/>
          <w:bCs/>
          <w:sz w:val="24"/>
          <w:szCs w:val="24"/>
        </w:rPr>
        <w:t>P2020M12A-</w:t>
      </w:r>
      <w:r>
        <w:rPr>
          <w:rFonts w:hint="eastAsia" w:ascii="楷体" w:hAnsi="楷体" w:eastAsia="楷体"/>
          <w:bCs/>
          <w:sz w:val="24"/>
          <w:szCs w:val="24"/>
        </w:rPr>
        <w:t>PT07</w:t>
      </w:r>
      <w:r>
        <w:rPr>
          <w:rFonts w:ascii="楷体" w:hAnsi="楷体" w:eastAsia="楷体"/>
          <w:bCs/>
          <w:sz w:val="24"/>
          <w:szCs w:val="24"/>
        </w:rPr>
        <w:t>-003-05</w:t>
      </w:r>
      <w:r>
        <w:rPr>
          <w:rFonts w:hint="eastAsia" w:ascii="楷体" w:hAnsi="楷体" w:eastAsia="楷体"/>
          <w:color w:val="000000"/>
        </w:rPr>
        <w:t>】</w:t>
      </w:r>
    </w:p>
    <w:p>
      <w:pPr>
        <w:adjustRightInd w:val="0"/>
        <w:snapToGrid w:val="0"/>
        <w:spacing w:after="62" w:afterLines="20" w:line="360" w:lineRule="auto"/>
        <w:jc w:val="center"/>
        <w:outlineLvl w:val="0"/>
        <w:rPr>
          <w:rFonts w:ascii="楷体" w:hAnsi="楷体" w:eastAsia="楷体"/>
          <w:b/>
          <w:color w:val="000000"/>
          <w:w w:val="105"/>
          <w:kern w:val="0"/>
          <w:sz w:val="36"/>
          <w:szCs w:val="36"/>
        </w:rPr>
      </w:pPr>
      <w:r>
        <w:rPr>
          <w:rFonts w:hint="eastAsia" w:ascii="楷体" w:hAnsi="楷体" w:eastAsia="楷体"/>
          <w:b/>
          <w:color w:val="000000"/>
          <w:w w:val="105"/>
          <w:kern w:val="0"/>
          <w:sz w:val="36"/>
          <w:szCs w:val="36"/>
        </w:rPr>
        <w:t>项目委托监管合同</w:t>
      </w:r>
    </w:p>
    <w:p>
      <w:pPr>
        <w:spacing w:after="62" w:afterLines="20" w:line="360" w:lineRule="auto"/>
        <w:rPr>
          <w:rFonts w:ascii="楷体" w:hAnsi="楷体" w:eastAsia="楷体"/>
          <w:color w:val="000000"/>
        </w:rPr>
      </w:pPr>
    </w:p>
    <w:p>
      <w:pPr>
        <w:adjustRightInd w:val="0"/>
        <w:snapToGrid w:val="0"/>
        <w:spacing w:after="62" w:afterLines="20" w:line="360" w:lineRule="auto"/>
        <w:outlineLvl w:val="0"/>
        <w:rPr>
          <w:rFonts w:ascii="楷体" w:hAnsi="楷体" w:eastAsia="楷体"/>
          <w:color w:val="000000"/>
          <w:sz w:val="24"/>
          <w:szCs w:val="24"/>
        </w:rPr>
      </w:pPr>
      <w:r>
        <w:rPr>
          <w:rFonts w:hint="eastAsia" w:ascii="楷体" w:hAnsi="楷体" w:eastAsia="楷体"/>
          <w:b/>
          <w:color w:val="000000"/>
          <w:sz w:val="24"/>
          <w:szCs w:val="24"/>
        </w:rPr>
        <w:t>甲方：五矿国际信托有限公司</w:t>
      </w:r>
      <w:r>
        <w:rPr>
          <w:rFonts w:hint="eastAsia" w:ascii="楷体" w:hAnsi="楷体" w:eastAsia="楷体"/>
          <w:color w:val="000000"/>
          <w:sz w:val="24"/>
          <w:szCs w:val="24"/>
        </w:rPr>
        <w:t>（以下简称</w:t>
      </w:r>
      <w:r>
        <w:rPr>
          <w:rFonts w:ascii="楷体" w:hAnsi="楷体" w:eastAsia="楷体"/>
          <w:color w:val="000000"/>
          <w:sz w:val="24"/>
          <w:szCs w:val="24"/>
        </w:rPr>
        <w:t>“</w:t>
      </w:r>
      <w:r>
        <w:rPr>
          <w:rFonts w:hint="eastAsia" w:ascii="楷体" w:hAnsi="楷体" w:eastAsia="楷体"/>
          <w:b/>
          <w:color w:val="000000"/>
          <w:sz w:val="24"/>
          <w:szCs w:val="24"/>
        </w:rPr>
        <w:t>五矿信托</w:t>
      </w:r>
      <w:r>
        <w:rPr>
          <w:rFonts w:ascii="楷体" w:hAnsi="楷体" w:eastAsia="楷体"/>
          <w:color w:val="000000"/>
          <w:sz w:val="24"/>
          <w:szCs w:val="24"/>
        </w:rPr>
        <w:t>”</w:t>
      </w:r>
      <w:r>
        <w:rPr>
          <w:rFonts w:hint="eastAsia" w:ascii="楷体" w:hAnsi="楷体" w:eastAsia="楷体"/>
          <w:color w:val="000000"/>
          <w:sz w:val="24"/>
          <w:szCs w:val="24"/>
        </w:rPr>
        <w:t>或</w:t>
      </w:r>
      <w:r>
        <w:rPr>
          <w:rFonts w:ascii="楷体" w:hAnsi="楷体" w:eastAsia="楷体"/>
          <w:color w:val="000000"/>
          <w:sz w:val="24"/>
          <w:szCs w:val="24"/>
        </w:rPr>
        <w:t>“</w:t>
      </w:r>
      <w:r>
        <w:rPr>
          <w:rFonts w:hint="eastAsia" w:ascii="楷体" w:hAnsi="楷体" w:eastAsia="楷体"/>
          <w:b/>
          <w:color w:val="000000"/>
          <w:sz w:val="24"/>
          <w:szCs w:val="24"/>
        </w:rPr>
        <w:t>委托公司</w:t>
      </w:r>
      <w:r>
        <w:rPr>
          <w:rFonts w:ascii="楷体" w:hAnsi="楷体" w:eastAsia="楷体"/>
          <w:color w:val="000000"/>
          <w:sz w:val="24"/>
          <w:szCs w:val="24"/>
        </w:rPr>
        <w:t>”</w:t>
      </w:r>
      <w:r>
        <w:rPr>
          <w:rFonts w:hint="eastAsia" w:ascii="楷体" w:hAnsi="楷体" w:eastAsia="楷体"/>
          <w:color w:val="000000"/>
          <w:sz w:val="24"/>
          <w:szCs w:val="24"/>
        </w:rPr>
        <w:t>）</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联系地址：</w:t>
      </w:r>
      <w:r>
        <w:rPr>
          <w:rFonts w:ascii="楷体" w:hAnsi="楷体" w:eastAsia="楷体"/>
          <w:color w:val="000000"/>
          <w:sz w:val="24"/>
          <w:szCs w:val="24"/>
        </w:rPr>
        <w:t>北京市东城区朝阳门北大街五矿广场C座6层</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联系人：张廷富</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电话：010-59837878</w:t>
      </w:r>
    </w:p>
    <w:p>
      <w:pPr>
        <w:adjustRightInd w:val="0"/>
        <w:snapToGrid w:val="0"/>
        <w:spacing w:after="62" w:afterLines="20" w:line="360" w:lineRule="auto"/>
        <w:rPr>
          <w:rFonts w:ascii="楷体" w:hAnsi="楷体" w:eastAsia="楷体"/>
          <w:b/>
          <w:color w:val="000000"/>
          <w:sz w:val="24"/>
          <w:szCs w:val="24"/>
        </w:rPr>
      </w:pPr>
    </w:p>
    <w:p>
      <w:pPr>
        <w:adjustRightInd w:val="0"/>
        <w:snapToGrid w:val="0"/>
        <w:spacing w:after="62" w:afterLines="20" w:line="360" w:lineRule="auto"/>
        <w:outlineLvl w:val="0"/>
        <w:rPr>
          <w:rFonts w:ascii="楷体" w:hAnsi="楷体" w:eastAsia="楷体"/>
          <w:color w:val="000000"/>
          <w:sz w:val="24"/>
          <w:szCs w:val="24"/>
        </w:rPr>
      </w:pPr>
      <w:r>
        <w:rPr>
          <w:rFonts w:hint="eastAsia" w:ascii="楷体" w:hAnsi="楷体" w:eastAsia="楷体"/>
          <w:b/>
          <w:color w:val="000000"/>
          <w:sz w:val="24"/>
          <w:szCs w:val="24"/>
        </w:rPr>
        <w:t>乙</w:t>
      </w:r>
      <w:r>
        <w:rPr>
          <w:rFonts w:hint="eastAsia" w:ascii="楷体" w:hAnsi="楷体" w:eastAsia="楷体"/>
          <w:b/>
          <w:color w:val="000000"/>
          <w:sz w:val="24"/>
          <w:szCs w:val="24"/>
          <w:lang w:eastAsia="zh-Hans"/>
        </w:rPr>
        <w:t>方</w:t>
      </w:r>
      <w:r>
        <w:rPr>
          <w:rFonts w:hint="eastAsia" w:ascii="楷体" w:hAnsi="楷体" w:eastAsia="楷体"/>
          <w:b/>
          <w:color w:val="000000"/>
          <w:sz w:val="24"/>
          <w:szCs w:val="24"/>
        </w:rPr>
        <w:t>：</w:t>
      </w:r>
      <w:r>
        <w:rPr>
          <w:rFonts w:ascii="楷体" w:hAnsi="楷体" w:eastAsia="楷体"/>
          <w:b/>
          <w:color w:val="000000"/>
          <w:sz w:val="24"/>
          <w:szCs w:val="24"/>
        </w:rPr>
        <w:t>杭州钊光置业有限公司</w:t>
      </w:r>
      <w:r>
        <w:rPr>
          <w:rFonts w:hint="eastAsia" w:ascii="楷体" w:hAnsi="楷体" w:eastAsia="楷体"/>
          <w:color w:val="000000"/>
          <w:sz w:val="24"/>
          <w:szCs w:val="24"/>
        </w:rPr>
        <w:t>（以下简称</w:t>
      </w:r>
      <w:r>
        <w:rPr>
          <w:rFonts w:ascii="楷体" w:hAnsi="楷体" w:eastAsia="楷体"/>
          <w:color w:val="000000"/>
          <w:sz w:val="24"/>
          <w:szCs w:val="24"/>
        </w:rPr>
        <w:t>“</w:t>
      </w:r>
      <w:r>
        <w:rPr>
          <w:rFonts w:ascii="楷体" w:hAnsi="楷体" w:eastAsia="楷体"/>
          <w:b/>
          <w:color w:val="000000"/>
          <w:sz w:val="24"/>
          <w:szCs w:val="24"/>
        </w:rPr>
        <w:t>杭州钊光</w:t>
      </w:r>
      <w:r>
        <w:rPr>
          <w:rFonts w:ascii="楷体" w:hAnsi="楷体" w:eastAsia="楷体"/>
          <w:color w:val="000000"/>
          <w:sz w:val="24"/>
          <w:szCs w:val="24"/>
        </w:rPr>
        <w:t>”</w:t>
      </w:r>
      <w:r>
        <w:rPr>
          <w:rFonts w:hint="eastAsia" w:ascii="楷体" w:hAnsi="楷体" w:eastAsia="楷体"/>
          <w:color w:val="000000"/>
          <w:sz w:val="24"/>
          <w:szCs w:val="24"/>
        </w:rPr>
        <w:t>或“</w:t>
      </w:r>
      <w:r>
        <w:rPr>
          <w:rFonts w:hint="eastAsia" w:ascii="楷体" w:hAnsi="楷体" w:eastAsia="楷体"/>
          <w:b/>
          <w:color w:val="000000"/>
          <w:sz w:val="24"/>
          <w:szCs w:val="24"/>
        </w:rPr>
        <w:t>被监管主体</w:t>
      </w:r>
      <w:r>
        <w:rPr>
          <w:rFonts w:hint="eastAsia" w:ascii="楷体" w:hAnsi="楷体" w:eastAsia="楷体"/>
          <w:color w:val="000000"/>
          <w:sz w:val="24"/>
          <w:szCs w:val="24"/>
        </w:rPr>
        <w:t>”）</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联系地址：</w:t>
      </w:r>
      <w:bookmarkStart w:id="0" w:name="_Hlk56514372"/>
      <w:r>
        <w:rPr>
          <w:rFonts w:hint="eastAsia" w:ascii="楷体" w:hAnsi="楷体" w:eastAsia="楷体"/>
          <w:color w:val="000000"/>
          <w:sz w:val="24"/>
          <w:szCs w:val="24"/>
        </w:rPr>
        <w:t>【</w:t>
      </w:r>
      <w:r>
        <w:rPr>
          <w:rFonts w:hint="eastAsia" w:ascii="楷体" w:hAnsi="楷体" w:eastAsia="楷体"/>
          <w:sz w:val="24"/>
          <w:szCs w:val="24"/>
        </w:rPr>
        <w:t>浙江省杭州市下城区中大银泰城1幢1504室-9</w:t>
      </w:r>
      <w:r>
        <w:rPr>
          <w:rFonts w:hint="eastAsia" w:ascii="楷体" w:hAnsi="楷体" w:eastAsia="楷体"/>
          <w:color w:val="000000"/>
          <w:sz w:val="24"/>
          <w:szCs w:val="24"/>
        </w:rPr>
        <w:t>】</w:t>
      </w:r>
      <w:bookmarkEnd w:id="0"/>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联系人：【</w:t>
      </w:r>
      <w:r>
        <w:rPr>
          <w:rFonts w:hint="eastAsia" w:ascii="楷体" w:hAnsi="楷体" w:eastAsia="楷体"/>
          <w:sz w:val="24"/>
          <w:szCs w:val="24"/>
        </w:rPr>
        <w:t>周雯</w:t>
      </w:r>
      <w:r>
        <w:rPr>
          <w:rFonts w:hint="eastAsia" w:ascii="楷体" w:hAnsi="楷体" w:eastAsia="楷体"/>
          <w:color w:val="000000"/>
          <w:sz w:val="24"/>
          <w:szCs w:val="24"/>
        </w:rPr>
        <w:t xml:space="preserve">】 </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电话：【</w:t>
      </w:r>
      <w:r>
        <w:rPr>
          <w:rFonts w:ascii="楷体" w:hAnsi="楷体" w:eastAsia="楷体"/>
          <w:sz w:val="24"/>
          <w:szCs w:val="24"/>
        </w:rPr>
        <w:t>0571-26892255</w:t>
      </w:r>
      <w:r>
        <w:rPr>
          <w:rFonts w:hint="eastAsia" w:ascii="楷体" w:hAnsi="楷体" w:eastAsia="楷体"/>
          <w:color w:val="000000"/>
          <w:sz w:val="24"/>
          <w:szCs w:val="24"/>
        </w:rPr>
        <w:t>】</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丙方：杭州橙光置业有限责任公司（</w:t>
      </w:r>
      <w:r>
        <w:rPr>
          <w:rFonts w:hint="eastAsia" w:ascii="楷体" w:hAnsi="楷体" w:eastAsia="楷体"/>
          <w:bCs/>
          <w:color w:val="000000"/>
          <w:sz w:val="24"/>
          <w:szCs w:val="24"/>
        </w:rPr>
        <w:t>以下简称</w:t>
      </w:r>
      <w:r>
        <w:rPr>
          <w:rFonts w:ascii="楷体" w:hAnsi="楷体" w:eastAsia="楷体"/>
          <w:b/>
          <w:color w:val="000000"/>
          <w:sz w:val="24"/>
          <w:szCs w:val="24"/>
        </w:rPr>
        <w:t>“</w:t>
      </w:r>
      <w:r>
        <w:rPr>
          <w:rFonts w:hint="eastAsia" w:ascii="楷体" w:hAnsi="楷体" w:eastAsia="楷体"/>
          <w:b/>
          <w:color w:val="000000"/>
          <w:sz w:val="24"/>
          <w:szCs w:val="24"/>
        </w:rPr>
        <w:t>杭州橙光</w:t>
      </w:r>
      <w:r>
        <w:rPr>
          <w:rFonts w:ascii="楷体" w:hAnsi="楷体" w:eastAsia="楷体"/>
          <w:b/>
          <w:color w:val="000000"/>
          <w:sz w:val="24"/>
          <w:szCs w:val="24"/>
        </w:rPr>
        <w:t>”</w:t>
      </w:r>
      <w:r>
        <w:rPr>
          <w:rFonts w:hint="eastAsia" w:ascii="楷体" w:hAnsi="楷体" w:eastAsia="楷体"/>
          <w:b/>
          <w:color w:val="000000"/>
          <w:sz w:val="24"/>
          <w:szCs w:val="24"/>
        </w:rPr>
        <w:t>）</w:t>
      </w:r>
    </w:p>
    <w:p>
      <w:pPr>
        <w:adjustRightInd w:val="0"/>
        <w:snapToGrid w:val="0"/>
        <w:spacing w:after="62" w:afterLines="20" w:line="360" w:lineRule="auto"/>
        <w:rPr>
          <w:rFonts w:ascii="楷体" w:hAnsi="楷体" w:eastAsia="楷体"/>
          <w:bCs/>
          <w:color w:val="000000"/>
          <w:sz w:val="24"/>
          <w:szCs w:val="24"/>
        </w:rPr>
      </w:pPr>
      <w:r>
        <w:rPr>
          <w:rFonts w:hint="eastAsia" w:ascii="楷体" w:hAnsi="楷体" w:eastAsia="楷体"/>
          <w:bCs/>
          <w:color w:val="000000"/>
          <w:sz w:val="24"/>
          <w:szCs w:val="24"/>
        </w:rPr>
        <w:t>联系地址：【</w:t>
      </w:r>
      <w:r>
        <w:rPr>
          <w:rFonts w:hint="eastAsia" w:ascii="楷体" w:hAnsi="楷体" w:eastAsia="楷体"/>
          <w:sz w:val="24"/>
          <w:szCs w:val="24"/>
        </w:rPr>
        <w:t>浙江省杭州市下城区中大银泰城1幢1502室-5</w:t>
      </w:r>
      <w:r>
        <w:rPr>
          <w:rFonts w:hint="eastAsia" w:ascii="楷体" w:hAnsi="楷体" w:eastAsia="楷体"/>
          <w:bCs/>
          <w:color w:val="000000"/>
          <w:sz w:val="24"/>
          <w:szCs w:val="24"/>
        </w:rPr>
        <w:t xml:space="preserve">】 </w:t>
      </w:r>
    </w:p>
    <w:p>
      <w:pPr>
        <w:adjustRightInd w:val="0"/>
        <w:snapToGrid w:val="0"/>
        <w:spacing w:after="62" w:afterLines="20" w:line="360" w:lineRule="auto"/>
        <w:rPr>
          <w:rFonts w:ascii="楷体" w:hAnsi="楷体" w:eastAsia="楷体"/>
          <w:bCs/>
          <w:color w:val="000000"/>
          <w:sz w:val="24"/>
          <w:szCs w:val="24"/>
        </w:rPr>
      </w:pPr>
      <w:r>
        <w:rPr>
          <w:rFonts w:hint="eastAsia" w:ascii="楷体" w:hAnsi="楷体" w:eastAsia="楷体"/>
          <w:bCs/>
          <w:color w:val="000000"/>
          <w:sz w:val="24"/>
          <w:szCs w:val="24"/>
        </w:rPr>
        <w:t>联系人：【</w:t>
      </w:r>
      <w:r>
        <w:rPr>
          <w:rFonts w:hint="eastAsia" w:ascii="楷体" w:hAnsi="楷体" w:eastAsia="楷体"/>
          <w:sz w:val="24"/>
          <w:szCs w:val="24"/>
        </w:rPr>
        <w:t>周雯</w:t>
      </w:r>
      <w:r>
        <w:rPr>
          <w:rFonts w:hint="eastAsia" w:ascii="楷体" w:hAnsi="楷体" w:eastAsia="楷体"/>
          <w:bCs/>
          <w:color w:val="000000"/>
          <w:sz w:val="24"/>
          <w:szCs w:val="24"/>
        </w:rPr>
        <w:t xml:space="preserve">】 </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bCs/>
          <w:color w:val="000000"/>
          <w:sz w:val="24"/>
          <w:szCs w:val="24"/>
        </w:rPr>
        <w:t>电话：【</w:t>
      </w:r>
      <w:r>
        <w:rPr>
          <w:rFonts w:ascii="楷体" w:hAnsi="楷体" w:eastAsia="楷体"/>
          <w:sz w:val="24"/>
          <w:szCs w:val="24"/>
        </w:rPr>
        <w:t>0571-26892255</w:t>
      </w:r>
      <w:r>
        <w:rPr>
          <w:rFonts w:hint="eastAsia" w:ascii="楷体" w:hAnsi="楷体" w:eastAsia="楷体"/>
          <w:bCs/>
          <w:color w:val="000000"/>
          <w:sz w:val="24"/>
          <w:szCs w:val="24"/>
        </w:rPr>
        <w:t>】</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color w:val="000000"/>
          <w:sz w:val="24"/>
          <w:szCs w:val="24"/>
        </w:rPr>
      </w:pPr>
      <w:r>
        <w:rPr>
          <w:rFonts w:hint="eastAsia" w:ascii="楷体" w:hAnsi="楷体" w:eastAsia="楷体"/>
          <w:b/>
          <w:color w:val="000000"/>
          <w:sz w:val="24"/>
          <w:szCs w:val="24"/>
        </w:rPr>
        <w:t>丁方：北京康正宏基房地产评估有限公司</w:t>
      </w:r>
      <w:r>
        <w:rPr>
          <w:rFonts w:hint="eastAsia" w:ascii="楷体" w:hAnsi="楷体" w:eastAsia="楷体"/>
          <w:color w:val="000000"/>
          <w:sz w:val="24"/>
          <w:szCs w:val="24"/>
        </w:rPr>
        <w:t>（以下简称</w:t>
      </w:r>
      <w:r>
        <w:rPr>
          <w:rFonts w:ascii="楷体" w:hAnsi="楷体" w:eastAsia="楷体"/>
          <w:color w:val="000000"/>
          <w:sz w:val="24"/>
          <w:szCs w:val="24"/>
        </w:rPr>
        <w:t>“</w:t>
      </w:r>
      <w:r>
        <w:rPr>
          <w:rFonts w:hint="eastAsia" w:ascii="楷体" w:hAnsi="楷体" w:eastAsia="楷体"/>
          <w:b/>
          <w:color w:val="000000"/>
          <w:sz w:val="24"/>
          <w:szCs w:val="24"/>
        </w:rPr>
        <w:t>监管公司</w:t>
      </w:r>
      <w:r>
        <w:rPr>
          <w:rFonts w:ascii="楷体" w:hAnsi="楷体" w:eastAsia="楷体"/>
          <w:color w:val="000000"/>
          <w:sz w:val="24"/>
          <w:szCs w:val="24"/>
        </w:rPr>
        <w:t>”</w:t>
      </w:r>
      <w:r>
        <w:rPr>
          <w:rFonts w:hint="eastAsia" w:ascii="楷体" w:hAnsi="楷体" w:eastAsia="楷体"/>
          <w:color w:val="000000"/>
          <w:sz w:val="24"/>
          <w:szCs w:val="24"/>
        </w:rPr>
        <w:t>）</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联系地址：北京市丰台区芳城园一区16号2层2门配套公建01</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 xml:space="preserve">联系人：王鹏 </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电话：</w:t>
      </w:r>
      <w:r>
        <w:rPr>
          <w:rFonts w:ascii="楷体" w:hAnsi="楷体" w:eastAsia="楷体"/>
          <w:color w:val="000000"/>
          <w:sz w:val="24"/>
          <w:szCs w:val="24"/>
        </w:rPr>
        <w:t>13701191625</w:t>
      </w:r>
    </w:p>
    <w:p>
      <w:pPr>
        <w:adjustRightInd w:val="0"/>
        <w:snapToGrid w:val="0"/>
        <w:spacing w:after="62" w:afterLines="20" w:line="360" w:lineRule="auto"/>
        <w:rPr>
          <w:rFonts w:ascii="楷体" w:hAnsi="楷体" w:eastAsia="楷体"/>
          <w:bCs/>
          <w:color w:val="000000"/>
          <w:sz w:val="24"/>
          <w:szCs w:val="24"/>
        </w:rPr>
      </w:pP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在本合同中，各签约方合称为</w:t>
      </w:r>
      <w:r>
        <w:rPr>
          <w:rFonts w:ascii="楷体" w:hAnsi="楷体" w:eastAsia="楷体"/>
          <w:color w:val="000000"/>
          <w:sz w:val="24"/>
          <w:szCs w:val="24"/>
        </w:rPr>
        <w:t>“</w:t>
      </w:r>
      <w:r>
        <w:rPr>
          <w:rFonts w:hint="eastAsia" w:ascii="楷体" w:hAnsi="楷体" w:eastAsia="楷体"/>
          <w:color w:val="000000"/>
          <w:sz w:val="24"/>
          <w:szCs w:val="24"/>
        </w:rPr>
        <w:t>各方</w:t>
      </w:r>
      <w:r>
        <w:rPr>
          <w:rFonts w:ascii="楷体" w:hAnsi="楷体" w:eastAsia="楷体"/>
          <w:color w:val="000000"/>
          <w:sz w:val="24"/>
          <w:szCs w:val="24"/>
        </w:rPr>
        <w:t>”</w:t>
      </w:r>
      <w:r>
        <w:rPr>
          <w:rFonts w:hint="eastAsia" w:ascii="楷体" w:hAnsi="楷体" w:eastAsia="楷体"/>
          <w:color w:val="000000"/>
          <w:sz w:val="24"/>
          <w:szCs w:val="24"/>
        </w:rPr>
        <w:t>，单独称为</w:t>
      </w:r>
      <w:r>
        <w:rPr>
          <w:rFonts w:ascii="楷体" w:hAnsi="楷体" w:eastAsia="楷体"/>
          <w:color w:val="000000"/>
          <w:sz w:val="24"/>
          <w:szCs w:val="24"/>
        </w:rPr>
        <w:t>“</w:t>
      </w:r>
      <w:r>
        <w:rPr>
          <w:rFonts w:hint="eastAsia" w:ascii="楷体" w:hAnsi="楷体" w:eastAsia="楷体"/>
          <w:color w:val="000000"/>
          <w:sz w:val="24"/>
          <w:szCs w:val="24"/>
        </w:rPr>
        <w:t>一方</w:t>
      </w:r>
      <w:r>
        <w:rPr>
          <w:rFonts w:ascii="楷体" w:hAnsi="楷体" w:eastAsia="楷体"/>
          <w:color w:val="000000"/>
          <w:sz w:val="24"/>
          <w:szCs w:val="24"/>
        </w:rPr>
        <w:t>”</w:t>
      </w:r>
      <w:r>
        <w:rPr>
          <w:rFonts w:hint="eastAsia" w:ascii="楷体" w:hAnsi="楷体" w:eastAsia="楷体"/>
          <w:color w:val="000000"/>
          <w:sz w:val="24"/>
          <w:szCs w:val="24"/>
        </w:rPr>
        <w:t>。本合同（包括附件）项下定义均以编号为【</w:t>
      </w:r>
      <w:r>
        <w:rPr>
          <w:rFonts w:ascii="楷体" w:hAnsi="楷体" w:eastAsia="楷体"/>
          <w:color w:val="000000"/>
          <w:sz w:val="24"/>
          <w:szCs w:val="24"/>
        </w:rPr>
        <w:t>P2020M12A-CX01-002</w:t>
      </w:r>
      <w:r>
        <w:rPr>
          <w:rFonts w:hint="eastAsia" w:ascii="楷体" w:hAnsi="楷体" w:eastAsia="楷体"/>
          <w:color w:val="000000"/>
          <w:sz w:val="24"/>
          <w:szCs w:val="24"/>
        </w:rPr>
        <w:t>】的《战略合作协议》约定为准。</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鉴于：</w:t>
      </w:r>
    </w:p>
    <w:p>
      <w:pPr>
        <w:widowControl/>
        <w:spacing w:line="360" w:lineRule="auto"/>
        <w:rPr>
          <w:rFonts w:ascii="楷体" w:hAnsi="楷体" w:eastAsia="楷体"/>
          <w:color w:val="000000"/>
          <w:sz w:val="24"/>
          <w:szCs w:val="24"/>
        </w:rPr>
      </w:pPr>
      <w:r>
        <w:rPr>
          <w:rFonts w:ascii="楷体" w:hAnsi="楷体" w:eastAsia="楷体"/>
          <w:color w:val="000000"/>
          <w:sz w:val="24"/>
          <w:szCs w:val="24"/>
        </w:rPr>
        <w:t>1.</w:t>
      </w:r>
      <w:r>
        <w:rPr>
          <w:rFonts w:hint="eastAsia" w:ascii="楷体" w:hAnsi="楷体" w:eastAsia="楷体"/>
          <w:color w:val="000000"/>
          <w:sz w:val="24"/>
          <w:szCs w:val="24"/>
        </w:rPr>
        <w:t>五矿信托拟发行“五矿信托-恒信共筑216号-桂冠投资10号集合资金信托计划第Ⅱ期信托单位”（以下简称“信托计划第Ⅱ期”）募集总规模不超过人民币</w:t>
      </w:r>
      <w:r>
        <w:rPr>
          <w:rFonts w:ascii="楷体" w:hAnsi="楷体" w:eastAsia="楷体"/>
          <w:color w:val="000000"/>
          <w:sz w:val="24"/>
          <w:szCs w:val="24"/>
        </w:rPr>
        <w:t>1</w:t>
      </w:r>
      <w:r>
        <w:rPr>
          <w:rFonts w:hint="eastAsia" w:ascii="楷体" w:hAnsi="楷体" w:eastAsia="楷体"/>
          <w:color w:val="000000"/>
          <w:sz w:val="24"/>
          <w:szCs w:val="24"/>
        </w:rPr>
        <w:t>,</w:t>
      </w:r>
      <w:r>
        <w:rPr>
          <w:rFonts w:ascii="楷体" w:hAnsi="楷体" w:eastAsia="楷体"/>
          <w:color w:val="000000"/>
          <w:sz w:val="24"/>
          <w:szCs w:val="24"/>
        </w:rPr>
        <w:t>2</w:t>
      </w:r>
      <w:r>
        <w:rPr>
          <w:rFonts w:hint="eastAsia" w:ascii="楷体" w:hAnsi="楷体" w:eastAsia="楷体"/>
          <w:color w:val="000000"/>
          <w:sz w:val="24"/>
          <w:szCs w:val="24"/>
        </w:rPr>
        <w:t>00,000,000.00元（大写：人民币壹拾贰亿元整）的信托资金，其中以人民币9,000,000.00元（大写：人民币玖佰万元整</w:t>
      </w:r>
      <w:bookmarkStart w:id="1" w:name="_Hlk55571093"/>
      <w:r>
        <w:rPr>
          <w:rFonts w:hint="eastAsia" w:ascii="楷体" w:hAnsi="楷体" w:eastAsia="楷体"/>
          <w:color w:val="000000"/>
          <w:sz w:val="24"/>
          <w:szCs w:val="24"/>
        </w:rPr>
        <w:t>，具体以</w:t>
      </w:r>
      <w:r>
        <w:rPr>
          <w:rFonts w:ascii="楷体" w:hAnsi="楷体" w:eastAsia="楷体"/>
          <w:color w:val="000000"/>
          <w:sz w:val="24"/>
          <w:szCs w:val="24"/>
        </w:rPr>
        <w:t>信托计划第Ⅱ期</w:t>
      </w:r>
      <w:r>
        <w:rPr>
          <w:rFonts w:hint="eastAsia" w:ascii="楷体" w:hAnsi="楷体" w:eastAsia="楷体"/>
          <w:color w:val="000000"/>
          <w:sz w:val="24"/>
          <w:szCs w:val="24"/>
        </w:rPr>
        <w:t>项下合法募集的信托资金中用于共同出资设立杭州橙光的信托资金金额为准</w:t>
      </w:r>
      <w:bookmarkEnd w:id="1"/>
      <w:r>
        <w:rPr>
          <w:rFonts w:hint="eastAsia" w:ascii="楷体" w:hAnsi="楷体" w:eastAsia="楷体"/>
          <w:color w:val="000000"/>
          <w:sz w:val="24"/>
          <w:szCs w:val="24"/>
        </w:rPr>
        <w:t>）的信托资金用于与福建阳光房地产开发有限公司（以下简称“福建阳光地产”）及杭州诺璟企业管理有限公司（以下简称“杭州诺璟”）共同出资设立杭州橙光并持有杭州橙光</w:t>
      </w:r>
      <w:r>
        <w:rPr>
          <w:rFonts w:ascii="楷体" w:hAnsi="楷体" w:eastAsia="楷体"/>
          <w:color w:val="000000"/>
          <w:sz w:val="24"/>
          <w:szCs w:val="24"/>
        </w:rPr>
        <w:t>30</w:t>
      </w:r>
      <w:r>
        <w:rPr>
          <w:rFonts w:hint="eastAsia" w:ascii="楷体" w:hAnsi="楷体" w:eastAsia="楷体"/>
          <w:color w:val="000000"/>
          <w:sz w:val="24"/>
          <w:szCs w:val="24"/>
        </w:rPr>
        <w:t>%的股权（对应注册资本人民币</w:t>
      </w:r>
      <w:r>
        <w:rPr>
          <w:rFonts w:ascii="楷体" w:hAnsi="楷体" w:eastAsia="楷体"/>
          <w:color w:val="000000"/>
          <w:sz w:val="24"/>
          <w:szCs w:val="24"/>
        </w:rPr>
        <w:t>9</w:t>
      </w:r>
      <w:r>
        <w:rPr>
          <w:rFonts w:hint="eastAsia" w:ascii="楷体" w:hAnsi="楷体" w:eastAsia="楷体"/>
          <w:color w:val="000000"/>
          <w:sz w:val="24"/>
          <w:szCs w:val="24"/>
        </w:rPr>
        <w:t>00万元，以下简称“标的股权”）；以不超过人民币</w:t>
      </w:r>
      <w:r>
        <w:rPr>
          <w:rFonts w:ascii="楷体" w:hAnsi="楷体" w:eastAsia="楷体"/>
          <w:color w:val="000000"/>
          <w:sz w:val="24"/>
          <w:szCs w:val="24"/>
        </w:rPr>
        <w:t>1,191</w:t>
      </w:r>
      <w:r>
        <w:rPr>
          <w:rFonts w:hint="eastAsia" w:ascii="楷体" w:hAnsi="楷体" w:eastAsia="楷体"/>
          <w:color w:val="000000"/>
          <w:sz w:val="24"/>
          <w:szCs w:val="24"/>
        </w:rPr>
        <w:t>,000,000.00元（大写：人民币壹拾壹亿玖仟壹佰万元整，具体以</w:t>
      </w:r>
      <w:r>
        <w:rPr>
          <w:rFonts w:ascii="楷体" w:hAnsi="楷体" w:eastAsia="楷体"/>
          <w:color w:val="000000"/>
          <w:sz w:val="24"/>
          <w:szCs w:val="24"/>
        </w:rPr>
        <w:t>信托计划第Ⅱ期</w:t>
      </w:r>
      <w:r>
        <w:rPr>
          <w:rFonts w:hint="eastAsia" w:ascii="楷体" w:hAnsi="楷体" w:eastAsia="楷体"/>
          <w:color w:val="000000"/>
          <w:sz w:val="24"/>
          <w:szCs w:val="24"/>
        </w:rPr>
        <w:t>项下合法募集的信托资金中用于向杭州橙光发放股东借款的信托资金金额为准）的信托资金用于向杭州橙光分笔发放股东借款。</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2</w:t>
      </w:r>
      <w:r>
        <w:rPr>
          <w:rFonts w:ascii="楷体" w:hAnsi="楷体" w:eastAsia="楷体"/>
          <w:color w:val="000000"/>
          <w:sz w:val="24"/>
          <w:szCs w:val="24"/>
        </w:rPr>
        <w:t>.</w:t>
      </w:r>
      <w:r>
        <w:rPr>
          <w:rFonts w:hint="eastAsia"/>
        </w:rPr>
        <w:t xml:space="preserve"> </w:t>
      </w:r>
      <w:r>
        <w:rPr>
          <w:rFonts w:hint="eastAsia" w:ascii="楷体" w:hAnsi="楷体" w:eastAsia="楷体"/>
          <w:color w:val="000000"/>
          <w:sz w:val="24"/>
          <w:szCs w:val="24"/>
        </w:rPr>
        <w:t>杭州橙光按照编号为【</w:t>
      </w:r>
      <w:r>
        <w:rPr>
          <w:rFonts w:ascii="楷体" w:hAnsi="楷体" w:eastAsia="楷体"/>
          <w:color w:val="000000"/>
          <w:sz w:val="24"/>
          <w:szCs w:val="24"/>
        </w:rPr>
        <w:t>P2020M12A-CX01-002</w:t>
      </w:r>
      <w:r>
        <w:rPr>
          <w:rFonts w:hint="eastAsia" w:ascii="楷体" w:hAnsi="楷体" w:eastAsia="楷体"/>
          <w:color w:val="000000"/>
          <w:sz w:val="24"/>
          <w:szCs w:val="24"/>
        </w:rPr>
        <w:t>】的《战略合作协议》的约定全资设立杭州钊光，并向杭州钊光发放股东借款，由杭州钊光参与符合《战略合作协议》约定准入标准的拟竞拍项目（具体以编号为【</w:t>
      </w:r>
      <w:r>
        <w:rPr>
          <w:rFonts w:ascii="楷体" w:hAnsi="楷体" w:eastAsia="楷体"/>
          <w:color w:val="000000"/>
          <w:sz w:val="24"/>
          <w:szCs w:val="24"/>
        </w:rPr>
        <w:t>P2020M12A-</w:t>
      </w:r>
      <w:r>
        <w:rPr>
          <w:rFonts w:hint="eastAsia" w:ascii="楷体" w:hAnsi="楷体" w:eastAsia="楷体"/>
          <w:color w:val="000000"/>
          <w:sz w:val="24"/>
          <w:szCs w:val="24"/>
        </w:rPr>
        <w:t>PT07</w:t>
      </w:r>
      <w:r>
        <w:rPr>
          <w:rFonts w:ascii="楷体" w:hAnsi="楷体" w:eastAsia="楷体"/>
          <w:color w:val="000000"/>
          <w:sz w:val="24"/>
          <w:szCs w:val="24"/>
        </w:rPr>
        <w:t>-003-02</w:t>
      </w:r>
      <w:r>
        <w:rPr>
          <w:rFonts w:hint="eastAsia" w:ascii="楷体" w:hAnsi="楷体" w:eastAsia="楷体"/>
          <w:color w:val="000000"/>
          <w:sz w:val="24"/>
          <w:szCs w:val="24"/>
        </w:rPr>
        <w:t>】的《股东借款合同》（以下简称“《股东借款合同》”）项下《资金用途确认书》中载明的拟竞拍项目信息确定的拟竞拍项目为准）的竞拍。</w:t>
      </w:r>
    </w:p>
    <w:p>
      <w:pPr>
        <w:adjustRightInd w:val="0"/>
        <w:snapToGrid w:val="0"/>
        <w:spacing w:after="62" w:afterLines="20" w:line="360" w:lineRule="auto"/>
        <w:rPr>
          <w:rFonts w:ascii="楷体" w:hAnsi="楷体" w:eastAsia="楷体"/>
          <w:color w:val="000000"/>
          <w:sz w:val="24"/>
          <w:szCs w:val="24"/>
        </w:rPr>
      </w:pPr>
      <w:r>
        <w:rPr>
          <w:rFonts w:ascii="楷体" w:hAnsi="楷体" w:eastAsia="楷体"/>
          <w:color w:val="000000"/>
          <w:sz w:val="24"/>
          <w:szCs w:val="24"/>
        </w:rPr>
        <w:t>3.</w:t>
      </w:r>
      <w:r>
        <w:rPr>
          <w:rFonts w:hint="eastAsia" w:ascii="楷体" w:hAnsi="楷体" w:eastAsia="楷体"/>
          <w:color w:val="000000"/>
          <w:sz w:val="24"/>
          <w:szCs w:val="24"/>
        </w:rPr>
        <w:t>为确保</w:t>
      </w:r>
      <w:r>
        <w:rPr>
          <w:rFonts w:ascii="楷体" w:hAnsi="楷体" w:eastAsia="楷体"/>
          <w:color w:val="000000"/>
          <w:sz w:val="24"/>
          <w:szCs w:val="24"/>
        </w:rPr>
        <w:t>信托计划第Ⅱ期</w:t>
      </w:r>
      <w:r>
        <w:rPr>
          <w:rFonts w:hint="eastAsia" w:ascii="楷体" w:hAnsi="楷体" w:eastAsia="楷体"/>
          <w:color w:val="000000"/>
          <w:sz w:val="24"/>
          <w:szCs w:val="24"/>
        </w:rPr>
        <w:t>项下信托资金安全，</w:t>
      </w:r>
      <w:r>
        <w:rPr>
          <w:rFonts w:ascii="楷体" w:hAnsi="楷体" w:eastAsia="楷体"/>
          <w:color w:val="000000"/>
          <w:sz w:val="24"/>
          <w:szCs w:val="24"/>
        </w:rPr>
        <w:t>杭州钊光</w:t>
      </w:r>
      <w:r>
        <w:rPr>
          <w:rFonts w:hint="eastAsia" w:ascii="楷体" w:hAnsi="楷体" w:eastAsia="楷体"/>
          <w:color w:val="000000"/>
          <w:sz w:val="24"/>
          <w:szCs w:val="24"/>
        </w:rPr>
        <w:t>、杭州橙光</w:t>
      </w:r>
      <w:r>
        <w:rPr>
          <w:rFonts w:ascii="楷体" w:hAnsi="楷体" w:eastAsia="楷体"/>
          <w:color w:val="000000"/>
          <w:sz w:val="24"/>
          <w:szCs w:val="24"/>
        </w:rPr>
        <w:t>等</w:t>
      </w:r>
      <w:r>
        <w:rPr>
          <w:rFonts w:hint="eastAsia" w:ascii="楷体" w:hAnsi="楷体" w:eastAsia="楷体"/>
          <w:color w:val="000000"/>
          <w:sz w:val="24"/>
          <w:szCs w:val="24"/>
        </w:rPr>
        <w:t>交易主体同意五矿信托委托监管公司对</w:t>
      </w:r>
      <w:r>
        <w:rPr>
          <w:rFonts w:ascii="楷体" w:hAnsi="楷体" w:eastAsia="楷体"/>
          <w:color w:val="000000"/>
          <w:sz w:val="24"/>
          <w:szCs w:val="24"/>
        </w:rPr>
        <w:t>杭州钊光</w:t>
      </w:r>
      <w:r>
        <w:rPr>
          <w:rFonts w:hint="eastAsia" w:ascii="楷体" w:hAnsi="楷体" w:eastAsia="楷体"/>
          <w:color w:val="000000"/>
          <w:sz w:val="24"/>
          <w:szCs w:val="24"/>
        </w:rPr>
        <w:t>的资金使用、印章、账户管理等事项（以下简称“本项目”）提供监管服务。</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为此，各方本着互惠互利、真诚合作的原则，经协商一致，达成本合同条款，以资共同信守。具体内容如下：</w:t>
      </w: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第一条：监管委托</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丁方应就本项目提供下列服务，以配合甲方对本项目的管理，乙方、丙方对甲方、丁方的管理进行完全配合：</w:t>
      </w:r>
    </w:p>
    <w:p>
      <w:pPr>
        <w:adjustRightInd w:val="0"/>
        <w:snapToGrid w:val="0"/>
        <w:spacing w:after="62" w:afterLines="20" w:line="360" w:lineRule="auto"/>
        <w:outlineLvl w:val="1"/>
        <w:rPr>
          <w:rFonts w:ascii="楷体" w:hAnsi="楷体" w:eastAsia="楷体"/>
          <w:color w:val="000000"/>
          <w:sz w:val="24"/>
          <w:szCs w:val="24"/>
        </w:rPr>
      </w:pPr>
      <w:r>
        <w:rPr>
          <w:rFonts w:ascii="楷体" w:hAnsi="楷体" w:eastAsia="楷体"/>
          <w:color w:val="000000"/>
          <w:sz w:val="24"/>
          <w:szCs w:val="24"/>
        </w:rPr>
        <w:t>1.1</w:t>
      </w:r>
      <w:r>
        <w:rPr>
          <w:rFonts w:ascii="楷体" w:hAnsi="楷体" w:eastAsia="楷体"/>
          <w:color w:val="000000"/>
          <w:sz w:val="24"/>
          <w:szCs w:val="24"/>
        </w:rPr>
        <w:tab/>
      </w:r>
      <w:r>
        <w:rPr>
          <w:rFonts w:hint="eastAsia" w:ascii="楷体" w:hAnsi="楷体" w:eastAsia="楷体"/>
          <w:color w:val="000000"/>
          <w:sz w:val="24"/>
          <w:szCs w:val="24"/>
        </w:rPr>
        <w:t>监管依据</w:t>
      </w:r>
    </w:p>
    <w:p>
      <w:pPr>
        <w:adjustRightInd w:val="0"/>
        <w:snapToGrid w:val="0"/>
        <w:spacing w:after="62" w:afterLines="20" w:line="360" w:lineRule="auto"/>
        <w:ind w:left="648" w:hanging="648" w:hangingChars="270"/>
        <w:rPr>
          <w:rFonts w:ascii="楷体" w:hAnsi="楷体" w:eastAsia="楷体"/>
          <w:color w:val="000000"/>
          <w:sz w:val="24"/>
          <w:szCs w:val="24"/>
        </w:rPr>
      </w:pPr>
      <w:r>
        <w:rPr>
          <w:rFonts w:hint="eastAsia" w:ascii="楷体" w:hAnsi="楷体" w:eastAsia="楷体"/>
          <w:color w:val="000000"/>
          <w:sz w:val="24"/>
          <w:szCs w:val="24"/>
        </w:rPr>
        <w:t>丁方对本项目进行投后管理的依据包括但不限于：</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1.1.1</w:t>
      </w:r>
      <w:r>
        <w:rPr>
          <w:rFonts w:ascii="楷体" w:hAnsi="楷体" w:eastAsia="楷体"/>
          <w:color w:val="000000"/>
          <w:sz w:val="24"/>
          <w:szCs w:val="24"/>
        </w:rPr>
        <w:tab/>
      </w:r>
      <w:r>
        <w:rPr>
          <w:rFonts w:hint="eastAsia" w:ascii="楷体" w:hAnsi="楷体" w:eastAsia="楷体"/>
          <w:color w:val="000000"/>
          <w:sz w:val="24"/>
          <w:szCs w:val="24"/>
        </w:rPr>
        <w:t>甲方与项目参与各方签订的《股东借款合同》、《差额补足协议》（协议编号【</w:t>
      </w:r>
      <w:r>
        <w:rPr>
          <w:rFonts w:ascii="楷体" w:hAnsi="楷体" w:eastAsia="楷体"/>
          <w:bCs/>
          <w:sz w:val="24"/>
          <w:szCs w:val="24"/>
        </w:rPr>
        <w:t>P2020M12A-</w:t>
      </w:r>
      <w:r>
        <w:rPr>
          <w:rFonts w:hint="eastAsia" w:ascii="楷体" w:hAnsi="楷体" w:eastAsia="楷体"/>
          <w:bCs/>
          <w:sz w:val="24"/>
          <w:szCs w:val="24"/>
        </w:rPr>
        <w:t>PT07</w:t>
      </w:r>
      <w:r>
        <w:rPr>
          <w:rFonts w:ascii="楷体" w:hAnsi="楷体" w:eastAsia="楷体"/>
          <w:bCs/>
          <w:sz w:val="24"/>
          <w:szCs w:val="24"/>
        </w:rPr>
        <w:t>-003-03</w:t>
      </w:r>
      <w:r>
        <w:rPr>
          <w:rFonts w:hint="eastAsia" w:ascii="楷体" w:hAnsi="楷体" w:eastAsia="楷体"/>
          <w:color w:val="000000"/>
          <w:sz w:val="24"/>
          <w:szCs w:val="24"/>
        </w:rPr>
        <w:t>】，以下简称“《差额补足协议》”）、《保证合同》（合同编号【</w:t>
      </w:r>
      <w:r>
        <w:rPr>
          <w:rFonts w:ascii="楷体" w:hAnsi="楷体" w:eastAsia="楷体"/>
          <w:bCs/>
          <w:sz w:val="24"/>
          <w:szCs w:val="24"/>
        </w:rPr>
        <w:t>P2020M12A-</w:t>
      </w:r>
      <w:r>
        <w:rPr>
          <w:rFonts w:hint="eastAsia" w:ascii="楷体" w:hAnsi="楷体" w:eastAsia="楷体"/>
          <w:bCs/>
          <w:sz w:val="24"/>
          <w:szCs w:val="24"/>
        </w:rPr>
        <w:t>PT07</w:t>
      </w:r>
      <w:r>
        <w:rPr>
          <w:rFonts w:ascii="楷体" w:hAnsi="楷体" w:eastAsia="楷体"/>
          <w:bCs/>
          <w:sz w:val="24"/>
          <w:szCs w:val="24"/>
        </w:rPr>
        <w:t>-003-0</w:t>
      </w:r>
      <w:r>
        <w:rPr>
          <w:rFonts w:hint="eastAsia" w:ascii="楷体" w:hAnsi="楷体" w:eastAsia="楷体"/>
          <w:bCs/>
          <w:sz w:val="24"/>
          <w:szCs w:val="24"/>
        </w:rPr>
        <w:t>4</w:t>
      </w:r>
      <w:r>
        <w:rPr>
          <w:rFonts w:hint="eastAsia" w:ascii="楷体" w:hAnsi="楷体" w:eastAsia="楷体"/>
          <w:color w:val="000000"/>
          <w:sz w:val="24"/>
          <w:szCs w:val="24"/>
        </w:rPr>
        <w:t>】，以下简称</w:t>
      </w:r>
      <w:r>
        <w:rPr>
          <w:rFonts w:ascii="楷体" w:hAnsi="楷体" w:eastAsia="楷体"/>
          <w:color w:val="000000"/>
          <w:sz w:val="24"/>
          <w:szCs w:val="24"/>
        </w:rPr>
        <w:t>“</w:t>
      </w:r>
      <w:r>
        <w:rPr>
          <w:rFonts w:hint="eastAsia" w:ascii="楷体" w:hAnsi="楷体" w:eastAsia="楷体"/>
          <w:color w:val="000000"/>
          <w:sz w:val="24"/>
          <w:szCs w:val="24"/>
        </w:rPr>
        <w:t>《保证合同》</w:t>
      </w:r>
      <w:r>
        <w:rPr>
          <w:rFonts w:ascii="楷体" w:hAnsi="楷体" w:eastAsia="楷体"/>
          <w:color w:val="000000"/>
          <w:sz w:val="24"/>
          <w:szCs w:val="24"/>
        </w:rPr>
        <w:t>”</w:t>
      </w:r>
      <w:r>
        <w:rPr>
          <w:rFonts w:hint="eastAsia" w:ascii="楷体" w:hAnsi="楷体" w:eastAsia="楷体"/>
          <w:color w:val="000000"/>
          <w:sz w:val="24"/>
          <w:szCs w:val="24"/>
        </w:rPr>
        <w:t>）、《项目委托监管合同》（合同编号为【</w:t>
      </w:r>
      <w:r>
        <w:rPr>
          <w:rFonts w:ascii="楷体" w:hAnsi="楷体" w:eastAsia="楷体"/>
          <w:bCs/>
          <w:sz w:val="24"/>
          <w:szCs w:val="24"/>
        </w:rPr>
        <w:t>P2020M12A-</w:t>
      </w:r>
      <w:r>
        <w:rPr>
          <w:rFonts w:hint="eastAsia" w:ascii="楷体" w:hAnsi="楷体" w:eastAsia="楷体"/>
          <w:bCs/>
          <w:sz w:val="24"/>
          <w:szCs w:val="24"/>
        </w:rPr>
        <w:t>PT07</w:t>
      </w:r>
      <w:r>
        <w:rPr>
          <w:rFonts w:ascii="楷体" w:hAnsi="楷体" w:eastAsia="楷体"/>
          <w:bCs/>
          <w:sz w:val="24"/>
          <w:szCs w:val="24"/>
        </w:rPr>
        <w:t>-003-05</w:t>
      </w:r>
      <w:r>
        <w:rPr>
          <w:rFonts w:hint="eastAsia" w:ascii="楷体" w:hAnsi="楷体" w:eastAsia="楷体"/>
          <w:color w:val="000000"/>
          <w:sz w:val="24"/>
          <w:szCs w:val="24"/>
        </w:rPr>
        <w:t>】，以下简称</w:t>
      </w:r>
      <w:r>
        <w:rPr>
          <w:rFonts w:ascii="楷体" w:hAnsi="楷体" w:eastAsia="楷体"/>
          <w:color w:val="000000"/>
          <w:sz w:val="24"/>
          <w:szCs w:val="24"/>
        </w:rPr>
        <w:t>“</w:t>
      </w:r>
      <w:r>
        <w:rPr>
          <w:rFonts w:hint="eastAsia" w:ascii="楷体" w:hAnsi="楷体" w:eastAsia="楷体"/>
          <w:color w:val="000000"/>
          <w:sz w:val="24"/>
          <w:szCs w:val="24"/>
        </w:rPr>
        <w:t>本合同</w:t>
      </w:r>
      <w:r>
        <w:rPr>
          <w:rFonts w:ascii="楷体" w:hAnsi="楷体" w:eastAsia="楷体"/>
          <w:color w:val="000000"/>
          <w:sz w:val="24"/>
          <w:szCs w:val="24"/>
        </w:rPr>
        <w:t>”</w:t>
      </w:r>
      <w:r>
        <w:rPr>
          <w:rFonts w:hint="eastAsia" w:ascii="楷体" w:hAnsi="楷体" w:eastAsia="楷体"/>
          <w:color w:val="000000"/>
          <w:sz w:val="24"/>
          <w:szCs w:val="24"/>
        </w:rPr>
        <w:t>）、《战略合作协议》及各方参与签署的《战略合作协议》项下的其他交易文件等各项相关文件；</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1.1.2</w:t>
      </w:r>
      <w:r>
        <w:rPr>
          <w:rFonts w:ascii="楷体" w:hAnsi="楷体" w:eastAsia="楷体"/>
          <w:color w:val="000000"/>
          <w:sz w:val="24"/>
          <w:szCs w:val="24"/>
        </w:rPr>
        <w:tab/>
      </w:r>
      <w:r>
        <w:rPr>
          <w:rFonts w:hint="eastAsia" w:ascii="楷体" w:hAnsi="楷体" w:eastAsia="楷体"/>
          <w:color w:val="000000"/>
          <w:sz w:val="24"/>
          <w:szCs w:val="24"/>
        </w:rPr>
        <w:t>被监管主体公司章程、股东决定、董事会决议等规章制度；</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1.1.3</w:t>
      </w:r>
      <w:r>
        <w:rPr>
          <w:rFonts w:ascii="楷体" w:hAnsi="楷体" w:eastAsia="楷体"/>
          <w:color w:val="000000"/>
          <w:sz w:val="24"/>
          <w:szCs w:val="24"/>
        </w:rPr>
        <w:tab/>
      </w:r>
      <w:r>
        <w:rPr>
          <w:rFonts w:hint="eastAsia" w:ascii="楷体" w:hAnsi="楷体" w:eastAsia="楷体"/>
          <w:color w:val="000000"/>
          <w:sz w:val="24"/>
          <w:szCs w:val="24"/>
        </w:rPr>
        <w:t>本项目实施过程中各有关方另行签署的相关文件、协议、合同、确认函、承诺函、备忘录，包括对上述第1</w:t>
      </w:r>
      <w:r>
        <w:rPr>
          <w:rFonts w:ascii="楷体" w:hAnsi="楷体" w:eastAsia="楷体"/>
          <w:color w:val="000000"/>
          <w:sz w:val="24"/>
          <w:szCs w:val="24"/>
        </w:rPr>
        <w:t>.1.1</w:t>
      </w:r>
      <w:r>
        <w:rPr>
          <w:rFonts w:hint="eastAsia" w:ascii="楷体" w:hAnsi="楷体" w:eastAsia="楷体"/>
          <w:color w:val="000000"/>
          <w:sz w:val="24"/>
          <w:szCs w:val="24"/>
        </w:rPr>
        <w:t>条约定的交易文件的任何修订和补充；</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1.1.4</w:t>
      </w:r>
      <w:r>
        <w:rPr>
          <w:rFonts w:ascii="楷体" w:hAnsi="楷体" w:eastAsia="楷体"/>
          <w:color w:val="000000"/>
          <w:sz w:val="24"/>
          <w:szCs w:val="24"/>
        </w:rPr>
        <w:tab/>
      </w:r>
      <w:r>
        <w:rPr>
          <w:rFonts w:hint="eastAsia" w:ascii="楷体" w:hAnsi="楷体" w:eastAsia="楷体"/>
          <w:color w:val="000000"/>
          <w:sz w:val="24"/>
          <w:szCs w:val="24"/>
        </w:rPr>
        <w:t>本项目运作过程中形成的文件和凭证等。</w:t>
      </w:r>
    </w:p>
    <w:p>
      <w:pPr>
        <w:adjustRightInd w:val="0"/>
        <w:snapToGrid w:val="0"/>
        <w:spacing w:after="62" w:afterLines="20" w:line="360" w:lineRule="auto"/>
        <w:outlineLvl w:val="1"/>
        <w:rPr>
          <w:rFonts w:ascii="楷体" w:hAnsi="楷体" w:eastAsia="楷体"/>
          <w:color w:val="000000"/>
          <w:sz w:val="24"/>
          <w:szCs w:val="24"/>
        </w:rPr>
      </w:pPr>
      <w:r>
        <w:rPr>
          <w:rFonts w:ascii="楷体" w:hAnsi="楷体" w:eastAsia="楷体"/>
          <w:color w:val="000000"/>
          <w:sz w:val="24"/>
          <w:szCs w:val="24"/>
        </w:rPr>
        <w:t>1.2</w:t>
      </w:r>
      <w:r>
        <w:rPr>
          <w:rFonts w:ascii="楷体" w:hAnsi="楷体" w:eastAsia="楷体"/>
          <w:color w:val="000000"/>
          <w:sz w:val="24"/>
          <w:szCs w:val="24"/>
        </w:rPr>
        <w:tab/>
      </w:r>
      <w:r>
        <w:rPr>
          <w:rFonts w:hint="eastAsia" w:ascii="楷体" w:hAnsi="楷体" w:eastAsia="楷体"/>
          <w:color w:val="000000"/>
          <w:sz w:val="24"/>
          <w:szCs w:val="24"/>
        </w:rPr>
        <w:t>监管委托</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1.2.1</w:t>
      </w:r>
      <w:r>
        <w:rPr>
          <w:rFonts w:ascii="楷体" w:hAnsi="楷体" w:eastAsia="楷体"/>
          <w:color w:val="000000"/>
          <w:sz w:val="24"/>
          <w:szCs w:val="24"/>
        </w:rPr>
        <w:tab/>
      </w:r>
      <w:r>
        <w:rPr>
          <w:rFonts w:hint="eastAsia" w:ascii="楷体" w:hAnsi="楷体" w:eastAsia="楷体"/>
          <w:color w:val="000000"/>
          <w:sz w:val="24"/>
          <w:szCs w:val="24"/>
        </w:rPr>
        <w:t>丁方对本项目监管采取驻场服务、巡场服务；</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1.2.2</w:t>
      </w:r>
      <w:r>
        <w:rPr>
          <w:rFonts w:ascii="楷体" w:hAnsi="楷体" w:eastAsia="楷体"/>
          <w:color w:val="000000"/>
          <w:sz w:val="24"/>
          <w:szCs w:val="24"/>
        </w:rPr>
        <w:tab/>
      </w:r>
      <w:r>
        <w:rPr>
          <w:rFonts w:hint="eastAsia" w:ascii="楷体" w:hAnsi="楷体" w:eastAsia="楷体"/>
          <w:color w:val="000000"/>
          <w:sz w:val="24"/>
          <w:szCs w:val="24"/>
        </w:rPr>
        <w:t>丁方的监管人员配置为</w:t>
      </w:r>
      <w:r>
        <w:rPr>
          <w:rFonts w:ascii="楷体" w:hAnsi="楷体" w:eastAsia="楷体"/>
          <w:color w:val="000000"/>
          <w:sz w:val="24"/>
          <w:szCs w:val="24"/>
        </w:rPr>
        <w:t>1+1+N</w:t>
      </w:r>
      <w:r>
        <w:rPr>
          <w:rFonts w:hint="eastAsia" w:ascii="楷体" w:hAnsi="楷体" w:eastAsia="楷体"/>
          <w:color w:val="000000"/>
          <w:sz w:val="24"/>
          <w:szCs w:val="24"/>
        </w:rPr>
        <w:t>，即</w:t>
      </w:r>
      <w:r>
        <w:rPr>
          <w:rFonts w:ascii="楷体" w:hAnsi="楷体" w:eastAsia="楷体"/>
          <w:color w:val="000000"/>
          <w:sz w:val="24"/>
          <w:szCs w:val="24"/>
        </w:rPr>
        <w:t>1</w:t>
      </w:r>
      <w:r>
        <w:rPr>
          <w:rFonts w:hint="eastAsia" w:ascii="楷体" w:hAnsi="楷体" w:eastAsia="楷体"/>
          <w:color w:val="000000"/>
          <w:sz w:val="24"/>
          <w:szCs w:val="24"/>
        </w:rPr>
        <w:t>人驻场、</w:t>
      </w:r>
      <w:r>
        <w:rPr>
          <w:rFonts w:ascii="楷体" w:hAnsi="楷体" w:eastAsia="楷体"/>
          <w:color w:val="000000"/>
          <w:sz w:val="24"/>
          <w:szCs w:val="24"/>
        </w:rPr>
        <w:t>1</w:t>
      </w:r>
      <w:r>
        <w:rPr>
          <w:rFonts w:hint="eastAsia" w:ascii="楷体" w:hAnsi="楷体" w:eastAsia="楷体"/>
          <w:color w:val="000000"/>
          <w:sz w:val="24"/>
          <w:szCs w:val="24"/>
        </w:rPr>
        <w:t>人巡场、</w:t>
      </w:r>
      <w:r>
        <w:rPr>
          <w:rFonts w:ascii="楷体" w:hAnsi="楷体" w:eastAsia="楷体"/>
          <w:color w:val="000000"/>
          <w:sz w:val="24"/>
          <w:szCs w:val="24"/>
        </w:rPr>
        <w:t>N</w:t>
      </w:r>
      <w:r>
        <w:rPr>
          <w:rFonts w:hint="eastAsia" w:ascii="楷体" w:hAnsi="楷体" w:eastAsia="楷体"/>
          <w:color w:val="000000"/>
          <w:sz w:val="24"/>
          <w:szCs w:val="24"/>
        </w:rPr>
        <w:t>为非驻场人员（提供项目整体资料复核、市场监督、定期或不定期巡检等配合）；</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1.2.3</w:t>
      </w:r>
      <w:r>
        <w:rPr>
          <w:rFonts w:ascii="楷体" w:hAnsi="楷体" w:eastAsia="楷体"/>
          <w:color w:val="000000"/>
          <w:sz w:val="24"/>
          <w:szCs w:val="24"/>
        </w:rPr>
        <w:tab/>
      </w:r>
      <w:r>
        <w:rPr>
          <w:rFonts w:hint="eastAsia" w:ascii="楷体" w:hAnsi="楷体" w:eastAsia="楷体"/>
          <w:color w:val="000000"/>
          <w:sz w:val="24"/>
          <w:szCs w:val="24"/>
        </w:rPr>
        <w:t>如若甲方发现丁方委派的现场监管人员（以下简称“现场监管人员”，包括驻场、巡场、非驻场人员，下同）工作表现不能满足现场监管的要求或有其他甲方认为现场监管人员不能胜任的情况的，甲方有权要求丁方进行更换，若因丁方原因需要更换或调配本项目现场监管人员，需经甲方书面同意；</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1.2.4</w:t>
      </w:r>
      <w:r>
        <w:rPr>
          <w:rFonts w:ascii="楷体" w:hAnsi="楷体" w:eastAsia="楷体"/>
          <w:color w:val="000000"/>
          <w:sz w:val="24"/>
          <w:szCs w:val="24"/>
        </w:rPr>
        <w:tab/>
      </w:r>
      <w:r>
        <w:rPr>
          <w:rFonts w:hint="eastAsia" w:ascii="楷体" w:hAnsi="楷体" w:eastAsia="楷体"/>
          <w:color w:val="000000"/>
          <w:sz w:val="24"/>
          <w:szCs w:val="24"/>
        </w:rPr>
        <w:t>丁方监管的内容包括但不限于：被监管主体的运营情况、对被监管主体进行印鉴及证照的监管、对被监管主体进行账户监管、对被监管主体资金的监管、对被监管主体合同签署的监管、对被监管主体事项审批的监管等，具体以本合同其他约定及本合同附件一《项目监管方案》内容为准。</w:t>
      </w:r>
    </w:p>
    <w:p>
      <w:pPr>
        <w:adjustRightInd w:val="0"/>
        <w:snapToGrid w:val="0"/>
        <w:spacing w:after="62" w:afterLines="20" w:line="360" w:lineRule="auto"/>
        <w:ind w:left="648" w:hanging="648" w:hangingChars="270"/>
        <w:outlineLvl w:val="1"/>
        <w:rPr>
          <w:rFonts w:ascii="楷体" w:hAnsi="楷体" w:eastAsia="楷体"/>
          <w:color w:val="000000"/>
          <w:sz w:val="24"/>
          <w:szCs w:val="24"/>
        </w:rPr>
      </w:pPr>
      <w:r>
        <w:rPr>
          <w:rFonts w:hint="eastAsia" w:ascii="楷体" w:hAnsi="楷体" w:eastAsia="楷体"/>
          <w:color w:val="000000"/>
          <w:sz w:val="24"/>
          <w:szCs w:val="24"/>
        </w:rPr>
        <w:t>1.3现场监管人员进场及交接</w:t>
      </w:r>
    </w:p>
    <w:p>
      <w:pPr>
        <w:adjustRightInd w:val="0"/>
        <w:snapToGrid w:val="0"/>
        <w:spacing w:after="62" w:afterLines="20" w:line="360" w:lineRule="auto"/>
        <w:ind w:left="420" w:leftChars="200"/>
        <w:rPr>
          <w:rFonts w:ascii="楷体" w:hAnsi="楷体" w:eastAsia="楷体"/>
          <w:color w:val="000000"/>
          <w:sz w:val="24"/>
          <w:szCs w:val="24"/>
        </w:rPr>
      </w:pPr>
      <w:r>
        <w:rPr>
          <w:rFonts w:hint="eastAsia" w:ascii="楷体" w:hAnsi="楷体" w:eastAsia="楷体"/>
          <w:color w:val="000000"/>
          <w:sz w:val="24"/>
          <w:szCs w:val="24"/>
        </w:rPr>
        <w:t>在甲方项目组及/或其运营管理总部的见证下，由现场监管人员与乙方指定人员履行进场交接手续，交接包括乙方的所有需纳入监管的相关印鉴、证照、银行账户网银等，具体包括但不限于如下：</w:t>
      </w:r>
    </w:p>
    <w:p>
      <w:pPr>
        <w:numPr>
          <w:ilvl w:val="0"/>
          <w:numId w:val="1"/>
        </w:numPr>
        <w:adjustRightInd w:val="0"/>
        <w:snapToGrid w:val="0"/>
        <w:spacing w:after="62" w:afterLines="20" w:line="360" w:lineRule="auto"/>
        <w:ind w:left="1276" w:hanging="709"/>
        <w:rPr>
          <w:rFonts w:ascii="楷体" w:hAnsi="楷体" w:eastAsia="楷体"/>
          <w:color w:val="000000"/>
          <w:sz w:val="24"/>
          <w:szCs w:val="24"/>
        </w:rPr>
      </w:pPr>
      <w:r>
        <w:rPr>
          <w:rFonts w:hint="eastAsia" w:ascii="楷体" w:hAnsi="楷体" w:eastAsia="楷体"/>
          <w:color w:val="000000"/>
          <w:sz w:val="24"/>
          <w:szCs w:val="24"/>
        </w:rPr>
        <w:t>乙方所有公章、合同章、财务章、法人章、发票章、营销</w:t>
      </w:r>
      <w:bookmarkStart w:id="2" w:name="_Hlk62497428"/>
      <w:r>
        <w:rPr>
          <w:rFonts w:hint="eastAsia" w:ascii="楷体" w:hAnsi="楷体" w:eastAsia="楷体"/>
          <w:color w:val="000000"/>
          <w:sz w:val="24"/>
          <w:szCs w:val="24"/>
        </w:rPr>
        <w:t>章、电子印章（如有）</w:t>
      </w:r>
      <w:bookmarkEnd w:id="2"/>
      <w:r>
        <w:rPr>
          <w:rFonts w:hint="eastAsia" w:ascii="楷体" w:hAnsi="楷体" w:eastAsia="楷体"/>
          <w:color w:val="000000"/>
          <w:sz w:val="24"/>
          <w:szCs w:val="24"/>
        </w:rPr>
        <w:t>等印鉴（监管期限内后续新增的印鉴及时沟通是否纳入监管范围）；</w:t>
      </w:r>
    </w:p>
    <w:p>
      <w:pPr>
        <w:numPr>
          <w:ilvl w:val="0"/>
          <w:numId w:val="1"/>
        </w:numPr>
        <w:adjustRightInd w:val="0"/>
        <w:snapToGrid w:val="0"/>
        <w:spacing w:after="62" w:afterLines="20" w:line="360" w:lineRule="auto"/>
        <w:ind w:left="1276" w:hanging="709"/>
        <w:rPr>
          <w:rFonts w:ascii="楷体" w:hAnsi="楷体" w:eastAsia="楷体"/>
          <w:color w:val="000000"/>
          <w:sz w:val="24"/>
          <w:szCs w:val="24"/>
        </w:rPr>
      </w:pPr>
      <w:r>
        <w:rPr>
          <w:rFonts w:hint="eastAsia" w:ascii="楷体" w:hAnsi="楷体" w:eastAsia="楷体"/>
          <w:color w:val="000000"/>
          <w:sz w:val="24"/>
          <w:szCs w:val="24"/>
        </w:rPr>
        <w:t>乙方所有营业执照、组织机构代码证（如有）、开户许可证（如有）、《不动产权证书》、《建设用地规划许可证》、《建设工程规划许可证》、《建筑工程施工许可证》、预售许可证等；</w:t>
      </w:r>
    </w:p>
    <w:p>
      <w:pPr>
        <w:numPr>
          <w:ilvl w:val="0"/>
          <w:numId w:val="1"/>
        </w:numPr>
        <w:adjustRightInd w:val="0"/>
        <w:snapToGrid w:val="0"/>
        <w:spacing w:after="62" w:afterLines="20" w:line="360" w:lineRule="auto"/>
        <w:ind w:left="1276" w:hanging="709"/>
        <w:rPr>
          <w:rFonts w:ascii="楷体" w:hAnsi="楷体" w:eastAsia="楷体"/>
          <w:color w:val="000000"/>
          <w:sz w:val="24"/>
          <w:szCs w:val="24"/>
        </w:rPr>
      </w:pPr>
      <w:r>
        <w:rPr>
          <w:rFonts w:hint="eastAsia" w:ascii="楷体" w:hAnsi="楷体" w:eastAsia="楷体"/>
          <w:color w:val="000000"/>
          <w:sz w:val="24"/>
          <w:szCs w:val="24"/>
        </w:rPr>
        <w:t>乙方所有银行账户、最高权限复核网银U-key、支付密码器、密钥、支票、汇票、预留印鉴、印鉴卡、单位结算卡（如有）等，现场监管人员应在中国人民银行账户管理系统对乙方所有账户进行查询，以确保移交所有账户、没有遗漏；</w:t>
      </w:r>
    </w:p>
    <w:p>
      <w:pPr>
        <w:numPr>
          <w:ilvl w:val="0"/>
          <w:numId w:val="1"/>
        </w:numPr>
        <w:adjustRightInd w:val="0"/>
        <w:snapToGrid w:val="0"/>
        <w:spacing w:after="62" w:afterLines="20" w:line="360" w:lineRule="auto"/>
        <w:ind w:left="1276" w:hanging="709"/>
        <w:rPr>
          <w:rFonts w:ascii="楷体" w:hAnsi="楷体" w:eastAsia="楷体"/>
          <w:color w:val="000000"/>
          <w:sz w:val="24"/>
          <w:szCs w:val="24"/>
        </w:rPr>
      </w:pPr>
      <w:r>
        <w:rPr>
          <w:rFonts w:hint="eastAsia" w:ascii="楷体" w:hAnsi="楷体" w:eastAsia="楷体"/>
          <w:color w:val="000000"/>
          <w:sz w:val="24"/>
          <w:szCs w:val="24"/>
        </w:rPr>
        <w:t>乙方已签订的合同台账（台账内容包括但不限于合同编号、合同名称、签约方、合同内容、支付节点、合同总额、已支付情况等信息）及已签订合同文本（纸质版、电子版或扫描件）等。</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第二条：资金监管</w:t>
      </w:r>
    </w:p>
    <w:p>
      <w:pPr>
        <w:adjustRightInd w:val="0"/>
        <w:snapToGrid w:val="0"/>
        <w:spacing w:after="62" w:afterLines="20" w:line="360" w:lineRule="auto"/>
        <w:outlineLvl w:val="1"/>
        <w:rPr>
          <w:rFonts w:ascii="楷体" w:hAnsi="楷体" w:eastAsia="楷体"/>
          <w:color w:val="000000"/>
          <w:sz w:val="24"/>
          <w:szCs w:val="24"/>
        </w:rPr>
      </w:pPr>
      <w:r>
        <w:rPr>
          <w:rFonts w:ascii="楷体" w:hAnsi="楷体" w:eastAsia="楷体"/>
          <w:color w:val="000000"/>
          <w:sz w:val="24"/>
          <w:szCs w:val="24"/>
        </w:rPr>
        <w:t>2.1</w:t>
      </w:r>
      <w:r>
        <w:rPr>
          <w:rFonts w:hint="eastAsia" w:ascii="楷体" w:hAnsi="楷体" w:eastAsia="楷体"/>
          <w:color w:val="000000"/>
          <w:sz w:val="24"/>
          <w:szCs w:val="24"/>
        </w:rPr>
        <w:t>资金用款管理</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2.1.1</w:t>
      </w:r>
      <w:r>
        <w:rPr>
          <w:rFonts w:ascii="楷体" w:hAnsi="楷体" w:eastAsia="楷体"/>
          <w:color w:val="000000"/>
          <w:sz w:val="24"/>
          <w:szCs w:val="24"/>
        </w:rPr>
        <w:tab/>
      </w:r>
      <w:r>
        <w:rPr>
          <w:rFonts w:hint="eastAsia" w:ascii="楷体" w:hAnsi="楷体" w:eastAsia="楷体"/>
          <w:color w:val="000000"/>
          <w:sz w:val="24"/>
          <w:szCs w:val="24"/>
        </w:rPr>
        <w:t>被监管主体对外签署合同及相应额度的资金支付均需要按照附件一《项目监管方案》规定的程序申报审批。</w:t>
      </w:r>
    </w:p>
    <w:p>
      <w:pPr>
        <w:adjustRightInd w:val="0"/>
        <w:snapToGrid w:val="0"/>
        <w:spacing w:after="62" w:afterLines="20" w:line="360" w:lineRule="auto"/>
        <w:outlineLvl w:val="1"/>
        <w:rPr>
          <w:rFonts w:ascii="楷体" w:hAnsi="楷体" w:eastAsia="楷体"/>
          <w:color w:val="000000"/>
          <w:sz w:val="24"/>
          <w:szCs w:val="24"/>
        </w:rPr>
      </w:pPr>
      <w:r>
        <w:rPr>
          <w:rFonts w:ascii="楷体" w:hAnsi="楷体" w:eastAsia="楷体"/>
          <w:color w:val="000000"/>
          <w:sz w:val="24"/>
          <w:szCs w:val="24"/>
        </w:rPr>
        <w:t>2.2</w:t>
      </w:r>
      <w:r>
        <w:rPr>
          <w:rFonts w:hint="eastAsia" w:ascii="楷体" w:hAnsi="楷体" w:eastAsia="楷体"/>
          <w:color w:val="000000"/>
          <w:sz w:val="24"/>
          <w:szCs w:val="24"/>
        </w:rPr>
        <w:t>监管账户的其他规定</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2.2.1</w:t>
      </w:r>
      <w:r>
        <w:rPr>
          <w:rFonts w:ascii="楷体" w:hAnsi="楷体" w:eastAsia="楷体"/>
          <w:color w:val="000000"/>
          <w:sz w:val="24"/>
          <w:szCs w:val="24"/>
        </w:rPr>
        <w:tab/>
      </w:r>
      <w:r>
        <w:rPr>
          <w:rFonts w:hint="eastAsia" w:ascii="楷体" w:hAnsi="楷体" w:eastAsia="楷体"/>
          <w:color w:val="000000"/>
          <w:sz w:val="24"/>
          <w:szCs w:val="24"/>
        </w:rPr>
        <w:t>在监管期间，甲方及丁方有权无条件地、随时调看被监管主体的全部银行账户（以下统称“监管账户”）中的资金进出情况，乙方应给予完全的配合。</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2.2.2</w:t>
      </w:r>
      <w:r>
        <w:rPr>
          <w:rFonts w:ascii="楷体" w:hAnsi="楷体" w:eastAsia="楷体"/>
          <w:color w:val="000000"/>
          <w:sz w:val="24"/>
          <w:szCs w:val="24"/>
        </w:rPr>
        <w:tab/>
      </w:r>
      <w:r>
        <w:rPr>
          <w:rFonts w:hint="eastAsia" w:ascii="楷体" w:hAnsi="楷体" w:eastAsia="楷体"/>
          <w:color w:val="000000"/>
          <w:sz w:val="24"/>
          <w:szCs w:val="24"/>
        </w:rPr>
        <w:t>甲方及丁方有权随时检查与乙方资金收支有关的资料，包括但不限于乙方的财务账簿、原始凭证、发票、合同等材料，乙方应无条件予以配合。甲方及丁方有权随时对乙方实施现场检查，以了解乙方的整体经营情况、财务情况、款项支付情况、现场监管尽职情况等。</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2.2.3 </w:t>
      </w:r>
      <w:r>
        <w:rPr>
          <w:rFonts w:hint="eastAsia" w:ascii="楷体" w:hAnsi="楷体" w:eastAsia="楷体"/>
          <w:color w:val="000000"/>
          <w:sz w:val="24"/>
          <w:szCs w:val="24"/>
        </w:rPr>
        <w:t>现场监管人员需对监管账户进行监管、核对，被监管主体需按月提供监管账户的银企对账单据复印件，并由现场监管人员对监管账户的收入、支出款项来源进行审查、分析，并向监管公司和委托公司汇报；若发现存在未处于监管范围内的账户应及时（本合同项下及时均指发现约定情形后</w:t>
      </w:r>
      <w:r>
        <w:rPr>
          <w:rFonts w:ascii="楷体" w:hAnsi="楷体" w:eastAsia="楷体"/>
          <w:color w:val="000000"/>
          <w:sz w:val="24"/>
          <w:szCs w:val="24"/>
        </w:rPr>
        <w:t>1</w:t>
      </w:r>
      <w:r>
        <w:rPr>
          <w:rFonts w:hint="eastAsia" w:ascii="楷体" w:hAnsi="楷体" w:eastAsia="楷体"/>
          <w:color w:val="000000"/>
          <w:sz w:val="24"/>
          <w:szCs w:val="24"/>
        </w:rPr>
        <w:t>日内）要求被监管主体纠正并向甲方汇报；对于被监管主体申请开立新的银行账户，丁方及现场监管人员应报甲方审批，并确保对新开立账户自设立之初即纳入监管。监管公司应在中国人民银行征信系统对被监管主体所有账户进行查询，确保被监管主体移交所有账户。</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2.2.4 </w:t>
      </w:r>
      <w:r>
        <w:rPr>
          <w:rFonts w:hint="eastAsia" w:ascii="楷体" w:hAnsi="楷体" w:eastAsia="楷体"/>
          <w:color w:val="000000"/>
          <w:sz w:val="24"/>
          <w:szCs w:val="24"/>
        </w:rPr>
        <w:t>对于被监管主体已存在的具有网银支付功能的账户，操作录入</w:t>
      </w:r>
      <w:r>
        <w:rPr>
          <w:rFonts w:ascii="楷体" w:hAnsi="楷体" w:eastAsia="楷体"/>
          <w:color w:val="000000"/>
          <w:sz w:val="24"/>
          <w:szCs w:val="24"/>
        </w:rPr>
        <w:t>key</w:t>
      </w:r>
      <w:r>
        <w:rPr>
          <w:rFonts w:hint="eastAsia" w:ascii="楷体" w:hAnsi="楷体" w:eastAsia="楷体"/>
          <w:color w:val="000000"/>
          <w:sz w:val="24"/>
          <w:szCs w:val="24"/>
        </w:rPr>
        <w:t>由被监管主体财务人员保管，支付复核和主管</w:t>
      </w:r>
      <w:r>
        <w:rPr>
          <w:rFonts w:ascii="楷体" w:hAnsi="楷体" w:eastAsia="楷体"/>
          <w:color w:val="000000"/>
          <w:sz w:val="24"/>
          <w:szCs w:val="24"/>
        </w:rPr>
        <w:t>key</w:t>
      </w:r>
      <w:r>
        <w:rPr>
          <w:rFonts w:hint="eastAsia" w:ascii="楷体" w:hAnsi="楷体" w:eastAsia="楷体"/>
          <w:color w:val="000000"/>
          <w:sz w:val="24"/>
          <w:szCs w:val="24"/>
        </w:rPr>
        <w:t>（最高权限key）由现场监管人员保管。被监管主体应如实说明账户设置的付款方式，现场监管人员应向开户行了解该账户设置的付款方式（仅网银付款，或网银及支票、电汇方式均可），如仍可进行支票或电汇付款，应向开户行核对预留印鉴，确保对预留印鉴、支付密码器实施共管。</w:t>
      </w:r>
      <w:r>
        <w:rPr>
          <w:rFonts w:hint="eastAsia" w:ascii="楷体" w:hAnsi="楷体" w:eastAsia="楷体"/>
          <w:sz w:val="24"/>
          <w:szCs w:val="24"/>
        </w:rPr>
        <w:t>被监管主体所有银行账户均应开通资金入出短信提示功能</w:t>
      </w:r>
      <w:r>
        <w:rPr>
          <w:rFonts w:hint="eastAsia" w:ascii="楷体" w:hAnsi="楷体" w:eastAsia="楷体"/>
          <w:color w:val="000000"/>
          <w:sz w:val="24"/>
          <w:szCs w:val="24"/>
        </w:rPr>
        <w:t>，确保现场监管人员可以及时获取资金进出信息，如有发现异常，包括但不限于资金被挪用的情形，现场监管人员应立即报告甲方，并有权要求被监管主体予以解释并提供相关材料予以佐证。如果被监管主体无法给出合理的解释或无法提供相关材料，则视为被监管主体在本合同及相关交易主体在《战略合作协议》项下的违约。</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2.2.5 </w:t>
      </w:r>
      <w:r>
        <w:rPr>
          <w:rFonts w:hint="eastAsia" w:ascii="楷体" w:hAnsi="楷体" w:eastAsia="楷体"/>
          <w:color w:val="000000"/>
          <w:sz w:val="24"/>
          <w:szCs w:val="24"/>
        </w:rPr>
        <w:t>账户管理的其他要求以附件一《项目监管方案》的内容为准。</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第三条：印鉴</w:t>
      </w:r>
      <w:r>
        <w:rPr>
          <w:rFonts w:ascii="楷体" w:hAnsi="楷体" w:eastAsia="楷体"/>
          <w:b/>
          <w:color w:val="000000"/>
          <w:sz w:val="24"/>
          <w:szCs w:val="24"/>
        </w:rPr>
        <w:t>/</w:t>
      </w:r>
      <w:r>
        <w:rPr>
          <w:rFonts w:hint="eastAsia" w:ascii="楷体" w:hAnsi="楷体" w:eastAsia="楷体"/>
          <w:b/>
          <w:color w:val="000000"/>
          <w:sz w:val="24"/>
          <w:szCs w:val="24"/>
        </w:rPr>
        <w:t>证照监管规则</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3.1   </w:t>
      </w:r>
      <w:r>
        <w:rPr>
          <w:rFonts w:hint="eastAsia" w:ascii="楷体" w:hAnsi="楷体" w:eastAsia="楷体"/>
          <w:color w:val="000000"/>
          <w:sz w:val="24"/>
          <w:szCs w:val="24"/>
        </w:rPr>
        <w:t>印鉴移交共管之日，由乙方编制移交印鉴清单，载明移交共管印鉴的种类与数量并预留印鉴样本，移交印鉴清单一式三份，由乙方盖章确认，各方均持有一份清单原件，作为丁方印鉴共管执行情况的报备。</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3.2   </w:t>
      </w:r>
      <w:r>
        <w:rPr>
          <w:rFonts w:hint="eastAsia" w:ascii="楷体" w:hAnsi="楷体" w:eastAsia="楷体"/>
          <w:color w:val="000000"/>
          <w:sz w:val="24"/>
          <w:szCs w:val="24"/>
        </w:rPr>
        <w:t>现场监管人员与被监管主体指定人员共同管理被监管主体</w:t>
      </w:r>
      <w:r>
        <w:rPr>
          <w:rFonts w:hint="eastAsia" w:ascii="楷体" w:hAnsi="楷体" w:eastAsia="楷体"/>
          <w:color w:val="000000"/>
          <w:sz w:val="24"/>
          <w:szCs w:val="24"/>
          <w:lang w:eastAsia="zh-Hans"/>
        </w:rPr>
        <w:t>的</w:t>
      </w:r>
      <w:r>
        <w:rPr>
          <w:rFonts w:hint="eastAsia" w:ascii="楷体" w:hAnsi="楷体" w:eastAsia="楷体"/>
          <w:color w:val="000000"/>
          <w:sz w:val="24"/>
          <w:szCs w:val="24"/>
        </w:rPr>
        <w:t>公章、合同章、财务章、法人章、发票章、营销章、电子印章（如有）等印鉴，在办理日常用印事项时慎重甄别盖章事项性质，按照权限审核或报审（详见附件一《项目监管方案》）。</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3.3   </w:t>
      </w:r>
      <w:r>
        <w:rPr>
          <w:rFonts w:hint="eastAsia" w:ascii="楷体" w:hAnsi="楷体" w:eastAsia="楷体"/>
          <w:color w:val="000000"/>
          <w:sz w:val="24"/>
          <w:szCs w:val="24"/>
        </w:rPr>
        <w:t>现场监管人员与被监管主体指定人员共同管理被监管主体</w:t>
      </w:r>
      <w:r>
        <w:rPr>
          <w:rFonts w:hint="eastAsia" w:ascii="楷体" w:hAnsi="楷体" w:eastAsia="楷体"/>
          <w:color w:val="000000"/>
          <w:sz w:val="24"/>
          <w:szCs w:val="24"/>
          <w:lang w:eastAsia="zh-Hans"/>
        </w:rPr>
        <w:t>的</w:t>
      </w:r>
      <w:r>
        <w:rPr>
          <w:rFonts w:hint="eastAsia" w:ascii="楷体" w:hAnsi="楷体" w:eastAsia="楷体"/>
          <w:color w:val="000000"/>
          <w:sz w:val="24"/>
          <w:szCs w:val="24"/>
        </w:rPr>
        <w:t>《企业营业执照》、《开户许可证》（如有）以及本合同第1</w:t>
      </w:r>
      <w:r>
        <w:rPr>
          <w:rFonts w:ascii="楷体" w:hAnsi="楷体" w:eastAsia="楷体"/>
          <w:color w:val="000000"/>
          <w:sz w:val="24"/>
          <w:szCs w:val="24"/>
        </w:rPr>
        <w:t>.3</w:t>
      </w:r>
      <w:r>
        <w:rPr>
          <w:rFonts w:hint="eastAsia" w:ascii="楷体" w:hAnsi="楷体" w:eastAsia="楷体"/>
          <w:color w:val="000000"/>
          <w:sz w:val="24"/>
          <w:szCs w:val="24"/>
        </w:rPr>
        <w:t>条第（2）项约定的全部证照原件，被监管主体使用需办理登记借用手续并向监管公司和委托公司项目组报送审批。</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3.4   </w:t>
      </w:r>
      <w:r>
        <w:rPr>
          <w:rFonts w:hint="eastAsia" w:ascii="楷体" w:hAnsi="楷体" w:eastAsia="楷体"/>
          <w:color w:val="000000"/>
          <w:sz w:val="24"/>
          <w:szCs w:val="24"/>
        </w:rPr>
        <w:t>印章使用必须严格遵守印章使用审批程序，按照印章使用范围，经审批或经授权用印，未经批准，不得擅自用印。除甲方书面同意，任何一方或其委派人员不得加刻、私刻乙方的印鉴，挂失、重置均必须通过甲方的书面同意。被监管主体使用印章，由现场监管人员审查用印事由和被监管主体内部审批流程是否完备，根据用印事由审批权限填写“一般事项审批单”，本合同附件一《项目监管方案》第四点第（三）项授权事项规定的现场监管人员授权权限范围内事项无需填写审批单，所有用印事项均需登记后用印，印章使用台账（合同用章还需登记合同台账）每周集中向委托公司项目组回传；除现场监管人员授权权限范围内事项之外的待审批事项填写《一般事项审批单》并立即回传至委托公司项目组，由委托公司按照相应权限的审批流程签字回传现场监管人员后用印。</w:t>
      </w:r>
    </w:p>
    <w:p>
      <w:pPr>
        <w:adjustRightInd w:val="0"/>
        <w:snapToGrid w:val="0"/>
        <w:spacing w:after="62" w:afterLines="20" w:line="360" w:lineRule="auto"/>
        <w:ind w:left="648" w:hanging="648" w:hangingChars="270"/>
        <w:rPr>
          <w:rFonts w:ascii="楷体" w:hAnsi="楷体" w:eastAsia="楷体"/>
          <w:color w:val="000000"/>
          <w:sz w:val="24"/>
          <w:szCs w:val="24"/>
        </w:rPr>
      </w:pPr>
      <w:r>
        <w:rPr>
          <w:rFonts w:hint="eastAsia" w:ascii="楷体" w:hAnsi="楷体" w:eastAsia="楷体"/>
          <w:color w:val="000000"/>
          <w:sz w:val="24"/>
          <w:szCs w:val="24"/>
        </w:rPr>
        <w:t>3</w:t>
      </w:r>
      <w:r>
        <w:rPr>
          <w:rFonts w:ascii="楷体" w:hAnsi="楷体" w:eastAsia="楷体"/>
          <w:color w:val="000000"/>
          <w:sz w:val="24"/>
          <w:szCs w:val="24"/>
        </w:rPr>
        <w:t xml:space="preserve">.5   </w:t>
      </w:r>
      <w:r>
        <w:rPr>
          <w:rFonts w:hint="eastAsia" w:ascii="楷体" w:hAnsi="楷体" w:eastAsia="楷体"/>
          <w:color w:val="000000"/>
          <w:sz w:val="24"/>
          <w:szCs w:val="24"/>
        </w:rPr>
        <w:t>印鉴、证照监管的其他要求</w:t>
      </w:r>
      <w:r>
        <w:rPr>
          <w:rFonts w:ascii="楷体" w:hAnsi="楷体" w:eastAsia="楷体"/>
          <w:color w:val="000000"/>
          <w:sz w:val="24"/>
          <w:szCs w:val="24"/>
        </w:rPr>
        <w:t>以附件一《项目监管方案》的内容为准</w:t>
      </w:r>
      <w:r>
        <w:rPr>
          <w:rFonts w:hint="eastAsia" w:ascii="楷体" w:hAnsi="楷体" w:eastAsia="楷体"/>
          <w:color w:val="000000"/>
          <w:sz w:val="24"/>
          <w:szCs w:val="24"/>
        </w:rPr>
        <w:t>。</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第四条：其他监管规则</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4.1</w:t>
      </w:r>
      <w:r>
        <w:rPr>
          <w:rFonts w:ascii="楷体" w:hAnsi="楷体" w:eastAsia="楷体"/>
          <w:color w:val="000000"/>
          <w:sz w:val="24"/>
          <w:szCs w:val="24"/>
        </w:rPr>
        <w:tab/>
      </w:r>
      <w:r>
        <w:rPr>
          <w:rFonts w:hint="eastAsia" w:ascii="楷体" w:hAnsi="楷体" w:eastAsia="楷体"/>
          <w:color w:val="000000"/>
          <w:sz w:val="24"/>
          <w:szCs w:val="24"/>
        </w:rPr>
        <w:t>丁方认为有重大风险的，应第一时间向甲方进行书面汇报，经甲方书面审核后方可执行，且甲方有权利不予通过。现场监管人员如发现或知悉被监管主体发生或可能发生</w:t>
      </w:r>
      <w:r>
        <w:rPr>
          <w:rFonts w:ascii="楷体" w:hAnsi="楷体" w:eastAsia="楷体"/>
          <w:color w:val="000000"/>
          <w:sz w:val="24"/>
          <w:szCs w:val="24"/>
        </w:rPr>
        <w:t>附件一《项目监管方案》</w:t>
      </w:r>
      <w:r>
        <w:rPr>
          <w:rFonts w:hint="eastAsia" w:ascii="楷体" w:hAnsi="楷体" w:eastAsia="楷体"/>
          <w:color w:val="000000"/>
          <w:sz w:val="24"/>
          <w:szCs w:val="24"/>
        </w:rPr>
        <w:t>第四项事项审批及权限设置中所列各重大事项、导致或者可能导致银行账户被查封或冻结情况、相关项目触发特殊终止及退出事项以及了解到被监管主体可能出现异常或发生被监管主体章程规定的董事会决议或股东决定事项或现场监管人员认为一切有必要汇报的各种信息，应立即向监管公司和委托公司项目组汇报。</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4.2</w:t>
      </w:r>
      <w:r>
        <w:rPr>
          <w:rFonts w:ascii="楷体" w:hAnsi="楷体" w:eastAsia="楷体"/>
          <w:color w:val="000000"/>
          <w:sz w:val="24"/>
          <w:szCs w:val="24"/>
        </w:rPr>
        <w:tab/>
      </w:r>
      <w:r>
        <w:rPr>
          <w:rFonts w:hint="eastAsia" w:ascii="楷体" w:hAnsi="楷体" w:eastAsia="楷体"/>
          <w:color w:val="000000"/>
          <w:sz w:val="24"/>
          <w:szCs w:val="24"/>
        </w:rPr>
        <w:t>乙方应配合甲方及丁方对其运营状况进行检查，无条件允许及配合甲方、丁方查阅企业合同、收费收据及发票及月报、财务报表及银行对账单等资料，安排甲方、丁方认为需要参加的会议，不得以任何形式干扰或影响实施本合同；甲方、丁方有权协调乙方并由乙方安排上述未列明的、实施本合同所需的其它工作。</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4.3</w:t>
      </w:r>
      <w:r>
        <w:rPr>
          <w:rFonts w:ascii="楷体" w:hAnsi="楷体" w:eastAsia="楷体"/>
          <w:color w:val="000000"/>
          <w:sz w:val="24"/>
          <w:szCs w:val="24"/>
        </w:rPr>
        <w:tab/>
      </w:r>
      <w:r>
        <w:rPr>
          <w:rFonts w:hint="eastAsia" w:ascii="楷体" w:hAnsi="楷体" w:eastAsia="楷体"/>
          <w:color w:val="000000"/>
          <w:sz w:val="24"/>
          <w:szCs w:val="24"/>
        </w:rPr>
        <w:t>现场监管人员应于每月</w:t>
      </w:r>
      <w:r>
        <w:rPr>
          <w:rFonts w:ascii="楷体" w:hAnsi="楷体" w:eastAsia="楷体"/>
          <w:color w:val="000000"/>
          <w:sz w:val="24"/>
          <w:szCs w:val="24"/>
        </w:rPr>
        <w:t>15</w:t>
      </w:r>
      <w:r>
        <w:rPr>
          <w:rFonts w:hint="eastAsia" w:ascii="楷体" w:hAnsi="楷体" w:eastAsia="楷体"/>
          <w:color w:val="000000"/>
          <w:sz w:val="24"/>
          <w:szCs w:val="24"/>
        </w:rPr>
        <w:t>日（如遇节假日则相应顺延）前出具上月《监管月报》，报送监管公司和委托公司项目组，内容包括但不限于合同签署及支付情况、大额资金支付情况、资金财务情况、工程建设情况、市场情况、存在问题提示等，《监管月报》需提交</w:t>
      </w:r>
      <w:r>
        <w:rPr>
          <w:rFonts w:ascii="楷体" w:hAnsi="楷体" w:eastAsia="楷体"/>
          <w:color w:val="000000"/>
          <w:sz w:val="24"/>
          <w:szCs w:val="24"/>
        </w:rPr>
        <w:t>2</w:t>
      </w:r>
      <w:r>
        <w:rPr>
          <w:rFonts w:hint="eastAsia" w:ascii="楷体" w:hAnsi="楷体" w:eastAsia="楷体"/>
          <w:color w:val="000000"/>
          <w:sz w:val="24"/>
          <w:szCs w:val="24"/>
        </w:rPr>
        <w:t>份加盖公章纸质报告。</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4.4   </w:t>
      </w:r>
      <w:r>
        <w:rPr>
          <w:rFonts w:hint="eastAsia" w:ascii="楷体" w:hAnsi="楷体" w:eastAsia="楷体"/>
          <w:color w:val="000000"/>
          <w:sz w:val="24"/>
          <w:szCs w:val="24"/>
        </w:rPr>
        <w:t>丁方应就被监管主体是否触发《战略合作协议》约定的对赌触发情形或出现《股东借款合同》项下提前还款情形进行监管，该等监管内容亦视为其在本合同项下的监管义务和职责之一，且应在相关情形出现时及时（出现后</w:t>
      </w:r>
      <w:r>
        <w:rPr>
          <w:rFonts w:ascii="楷体" w:hAnsi="楷体" w:eastAsia="楷体"/>
          <w:color w:val="000000"/>
          <w:sz w:val="24"/>
          <w:szCs w:val="24"/>
        </w:rPr>
        <w:t>1</w:t>
      </w:r>
      <w:r>
        <w:rPr>
          <w:rFonts w:hint="eastAsia" w:ascii="楷体" w:hAnsi="楷体" w:eastAsia="楷体"/>
          <w:color w:val="000000"/>
          <w:sz w:val="24"/>
          <w:szCs w:val="24"/>
        </w:rPr>
        <w:t>日内）通知甲方。</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第五条：其他</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5.1</w:t>
      </w:r>
      <w:r>
        <w:rPr>
          <w:rFonts w:ascii="楷体" w:hAnsi="楷体" w:eastAsia="楷体"/>
          <w:color w:val="000000"/>
          <w:sz w:val="24"/>
          <w:szCs w:val="24"/>
        </w:rPr>
        <w:tab/>
      </w:r>
      <w:r>
        <w:rPr>
          <w:rFonts w:hint="eastAsia" w:ascii="楷体" w:hAnsi="楷体" w:eastAsia="楷体"/>
          <w:color w:val="000000"/>
          <w:sz w:val="24"/>
          <w:szCs w:val="24"/>
        </w:rPr>
        <w:t>被监管主体应遵守本合同规定的各项义务，并应保证监管账户及账户内资金避免受到或可能受到来自任何第三方的侵害。</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5.2</w:t>
      </w:r>
      <w:r>
        <w:rPr>
          <w:rFonts w:ascii="楷体" w:hAnsi="楷体" w:eastAsia="楷体"/>
          <w:color w:val="000000"/>
          <w:sz w:val="24"/>
          <w:szCs w:val="24"/>
        </w:rPr>
        <w:tab/>
      </w:r>
      <w:r>
        <w:rPr>
          <w:rFonts w:hint="eastAsia" w:ascii="楷体" w:hAnsi="楷体" w:eastAsia="楷体"/>
          <w:color w:val="000000"/>
          <w:sz w:val="24"/>
          <w:szCs w:val="24"/>
        </w:rPr>
        <w:t>甲方、丁方未行使或部分行使或迟延行使本合同项下的任何权利，不构成对该权利或任何其他权利的放弃或变更，也不影响其进一步行使该权利或任何其他权利。</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5.3</w:t>
      </w:r>
      <w:r>
        <w:rPr>
          <w:rFonts w:ascii="楷体" w:hAnsi="楷体" w:eastAsia="楷体"/>
          <w:color w:val="000000"/>
          <w:sz w:val="24"/>
          <w:szCs w:val="24"/>
        </w:rPr>
        <w:tab/>
      </w:r>
      <w:r>
        <w:rPr>
          <w:rFonts w:hint="eastAsia" w:ascii="楷体" w:hAnsi="楷体" w:eastAsia="楷体"/>
          <w:color w:val="000000"/>
          <w:sz w:val="24"/>
          <w:szCs w:val="24"/>
        </w:rPr>
        <w:t>被监管主体有下列情形之一，应当在知道或应当知道该等情形发生之日后</w:t>
      </w:r>
      <w:r>
        <w:rPr>
          <w:rFonts w:ascii="楷体" w:hAnsi="楷体" w:eastAsia="楷体"/>
          <w:color w:val="000000"/>
          <w:sz w:val="24"/>
          <w:szCs w:val="24"/>
        </w:rPr>
        <w:t>3</w:t>
      </w:r>
      <w:r>
        <w:rPr>
          <w:rFonts w:hint="eastAsia" w:ascii="楷体" w:hAnsi="楷体" w:eastAsia="楷体"/>
          <w:color w:val="000000"/>
          <w:sz w:val="24"/>
          <w:szCs w:val="24"/>
        </w:rPr>
        <w:t>个工作日内书面通知甲方、丁方，因被监管主体未及时通知造成损失的，应当赔偿相应损失：</w:t>
      </w:r>
    </w:p>
    <w:p>
      <w:pPr>
        <w:numPr>
          <w:ilvl w:val="0"/>
          <w:numId w:val="2"/>
        </w:numPr>
        <w:adjustRightInd w:val="0"/>
        <w:snapToGrid w:val="0"/>
        <w:spacing w:after="62" w:afterLines="20" w:line="360" w:lineRule="auto"/>
        <w:ind w:left="1276" w:hanging="709"/>
        <w:rPr>
          <w:rFonts w:ascii="楷体" w:hAnsi="楷体" w:eastAsia="楷体"/>
          <w:color w:val="000000"/>
          <w:sz w:val="24"/>
          <w:szCs w:val="24"/>
        </w:rPr>
      </w:pPr>
      <w:r>
        <w:rPr>
          <w:rFonts w:hint="eastAsia" w:ascii="楷体" w:hAnsi="楷体" w:eastAsia="楷体"/>
          <w:color w:val="000000"/>
          <w:sz w:val="24"/>
          <w:szCs w:val="24"/>
        </w:rPr>
        <w:t>涉及或可能涉及重大经济纠纷、诉讼、仲裁，监管账户资金被强制执行或依法冻结。</w:t>
      </w:r>
    </w:p>
    <w:p>
      <w:pPr>
        <w:numPr>
          <w:ilvl w:val="0"/>
          <w:numId w:val="2"/>
        </w:numPr>
        <w:adjustRightInd w:val="0"/>
        <w:snapToGrid w:val="0"/>
        <w:spacing w:after="62" w:afterLines="20" w:line="360" w:lineRule="auto"/>
        <w:ind w:left="1276" w:hanging="709"/>
        <w:rPr>
          <w:rFonts w:ascii="楷体" w:hAnsi="楷体" w:eastAsia="楷体"/>
          <w:color w:val="000000"/>
          <w:sz w:val="24"/>
          <w:szCs w:val="24"/>
        </w:rPr>
      </w:pPr>
      <w:r>
        <w:rPr>
          <w:rFonts w:ascii="楷体" w:hAnsi="楷体" w:eastAsia="楷体"/>
          <w:color w:val="000000"/>
          <w:sz w:val="24"/>
          <w:szCs w:val="24"/>
        </w:rPr>
        <w:tab/>
      </w:r>
      <w:r>
        <w:rPr>
          <w:rFonts w:hint="eastAsia" w:ascii="楷体" w:hAnsi="楷体" w:eastAsia="楷体"/>
          <w:color w:val="000000"/>
          <w:sz w:val="24"/>
          <w:szCs w:val="24"/>
        </w:rPr>
        <w:t>破产、歇业、解散、被停业整顿、被吊销营业执照、被撤销工商登记。</w:t>
      </w:r>
    </w:p>
    <w:p>
      <w:pPr>
        <w:numPr>
          <w:ilvl w:val="0"/>
          <w:numId w:val="2"/>
        </w:numPr>
        <w:adjustRightInd w:val="0"/>
        <w:snapToGrid w:val="0"/>
        <w:spacing w:after="62" w:afterLines="20" w:line="360" w:lineRule="auto"/>
        <w:ind w:left="1276" w:hanging="709"/>
        <w:rPr>
          <w:rFonts w:ascii="楷体" w:hAnsi="楷体" w:eastAsia="楷体"/>
          <w:color w:val="000000"/>
          <w:sz w:val="24"/>
          <w:szCs w:val="24"/>
        </w:rPr>
      </w:pPr>
      <w:r>
        <w:rPr>
          <w:rFonts w:hint="eastAsia" w:ascii="楷体" w:hAnsi="楷体" w:eastAsia="楷体"/>
          <w:color w:val="000000"/>
          <w:sz w:val="24"/>
          <w:szCs w:val="24"/>
        </w:rPr>
        <w:t>其他严重影响生产经营、资金偿付能力的情形。</w:t>
      </w:r>
    </w:p>
    <w:p>
      <w:pPr>
        <w:numPr>
          <w:ilvl w:val="0"/>
          <w:numId w:val="2"/>
        </w:numPr>
        <w:adjustRightInd w:val="0"/>
        <w:snapToGrid w:val="0"/>
        <w:spacing w:after="62" w:afterLines="20" w:line="360" w:lineRule="auto"/>
        <w:ind w:left="1276" w:hanging="709"/>
        <w:rPr>
          <w:rFonts w:ascii="楷体" w:hAnsi="楷体" w:eastAsia="楷体"/>
          <w:color w:val="000000"/>
          <w:sz w:val="24"/>
          <w:szCs w:val="24"/>
        </w:rPr>
      </w:pPr>
      <w:r>
        <w:rPr>
          <w:rFonts w:hint="eastAsia" w:ascii="楷体" w:hAnsi="楷体" w:eastAsia="楷体"/>
          <w:color w:val="000000"/>
          <w:sz w:val="24"/>
          <w:szCs w:val="24"/>
        </w:rPr>
        <w:t>各方约定的需要履行告知义务的其他事项。</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第六条：权利与义务</w:t>
      </w:r>
    </w:p>
    <w:p>
      <w:pPr>
        <w:adjustRightInd w:val="0"/>
        <w:snapToGrid w:val="0"/>
        <w:spacing w:after="62" w:afterLines="20" w:line="360" w:lineRule="auto"/>
        <w:outlineLvl w:val="1"/>
        <w:rPr>
          <w:rFonts w:ascii="楷体" w:hAnsi="楷体" w:eastAsia="楷体"/>
          <w:b/>
          <w:color w:val="000000"/>
          <w:sz w:val="24"/>
          <w:szCs w:val="24"/>
        </w:rPr>
      </w:pPr>
      <w:r>
        <w:rPr>
          <w:rFonts w:ascii="楷体" w:hAnsi="楷体" w:eastAsia="楷体"/>
          <w:b/>
          <w:color w:val="000000"/>
          <w:sz w:val="24"/>
          <w:szCs w:val="24"/>
        </w:rPr>
        <w:t>6.1</w:t>
      </w:r>
      <w:r>
        <w:rPr>
          <w:rFonts w:ascii="楷体" w:hAnsi="楷体" w:eastAsia="楷体"/>
          <w:b/>
          <w:color w:val="000000"/>
          <w:sz w:val="24"/>
          <w:szCs w:val="24"/>
        </w:rPr>
        <w:tab/>
      </w:r>
      <w:r>
        <w:rPr>
          <w:rFonts w:hint="eastAsia" w:ascii="楷体" w:hAnsi="楷体" w:eastAsia="楷体"/>
          <w:b/>
          <w:color w:val="000000"/>
          <w:sz w:val="24"/>
          <w:szCs w:val="24"/>
        </w:rPr>
        <w:t>甲方权责</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6.1.1</w:t>
      </w:r>
      <w:r>
        <w:rPr>
          <w:rFonts w:ascii="楷体" w:hAnsi="楷体" w:eastAsia="楷体"/>
          <w:color w:val="000000"/>
          <w:sz w:val="24"/>
          <w:szCs w:val="24"/>
        </w:rPr>
        <w:tab/>
      </w:r>
      <w:r>
        <w:rPr>
          <w:rFonts w:hint="eastAsia" w:ascii="楷体" w:hAnsi="楷体" w:eastAsia="楷体"/>
          <w:color w:val="000000"/>
          <w:sz w:val="24"/>
          <w:szCs w:val="24"/>
        </w:rPr>
        <w:t>本合同签订后，甲方有权督促被监管主体及时向丁方提供完成本合同约定的监管服务所需要的相关材料。</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6.1.2</w:t>
      </w:r>
      <w:r>
        <w:rPr>
          <w:rFonts w:hint="eastAsia" w:ascii="楷体" w:hAnsi="楷体" w:eastAsia="楷体"/>
          <w:color w:val="000000"/>
          <w:sz w:val="24"/>
          <w:szCs w:val="24"/>
        </w:rPr>
        <w:t>甲方应指定专人并组成项目组负责协调各有关方面的工作，指定专人代表甲方行使决策权，并根据丁方监管工作需要提供相应的工作配合。</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6.1.3</w:t>
      </w:r>
      <w:r>
        <w:rPr>
          <w:rFonts w:ascii="楷体" w:hAnsi="楷体" w:eastAsia="楷体"/>
          <w:color w:val="000000"/>
          <w:sz w:val="24"/>
          <w:szCs w:val="24"/>
        </w:rPr>
        <w:tab/>
      </w:r>
      <w:r>
        <w:rPr>
          <w:rFonts w:hint="eastAsia" w:ascii="楷体" w:hAnsi="楷体" w:eastAsia="楷体"/>
          <w:color w:val="000000"/>
          <w:sz w:val="24"/>
          <w:szCs w:val="24"/>
        </w:rPr>
        <w:t>甲方有权对丁方的工作进行检查、考核。</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6.1.4 </w:t>
      </w:r>
      <w:r>
        <w:rPr>
          <w:rFonts w:hint="eastAsia" w:ascii="楷体" w:hAnsi="楷体" w:eastAsia="楷体"/>
          <w:color w:val="000000"/>
          <w:sz w:val="24"/>
          <w:szCs w:val="24"/>
        </w:rPr>
        <w:t>甲方有权行使本合同及其他各方签署协议文件项下各项约定权利。</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6.1.5 </w:t>
      </w:r>
      <w:r>
        <w:rPr>
          <w:rFonts w:hint="eastAsia" w:ascii="楷体" w:hAnsi="楷体" w:eastAsia="楷体"/>
          <w:color w:val="000000"/>
          <w:sz w:val="24"/>
          <w:szCs w:val="24"/>
        </w:rPr>
        <w:t>甲方应按照合同约定的付款方式及时向丁方支付监管服务费用。</w:t>
      </w:r>
    </w:p>
    <w:p>
      <w:pPr>
        <w:adjustRightInd w:val="0"/>
        <w:snapToGrid w:val="0"/>
        <w:spacing w:after="62" w:afterLines="20" w:line="360" w:lineRule="auto"/>
        <w:ind w:left="809" w:hanging="808" w:hangingChars="337"/>
        <w:rPr>
          <w:rFonts w:ascii="楷体" w:hAnsi="楷体" w:eastAsia="楷体"/>
          <w:color w:val="000000"/>
          <w:sz w:val="24"/>
          <w:szCs w:val="24"/>
        </w:rPr>
      </w:pPr>
    </w:p>
    <w:p>
      <w:pPr>
        <w:adjustRightInd w:val="0"/>
        <w:snapToGrid w:val="0"/>
        <w:spacing w:after="62" w:afterLines="20" w:line="360" w:lineRule="auto"/>
        <w:outlineLvl w:val="1"/>
        <w:rPr>
          <w:rFonts w:ascii="楷体" w:hAnsi="楷体" w:eastAsia="楷体"/>
          <w:b/>
          <w:color w:val="000000"/>
          <w:sz w:val="24"/>
          <w:szCs w:val="24"/>
        </w:rPr>
      </w:pPr>
      <w:r>
        <w:rPr>
          <w:rFonts w:ascii="楷体" w:hAnsi="楷体" w:eastAsia="楷体"/>
          <w:b/>
          <w:color w:val="000000"/>
          <w:sz w:val="24"/>
          <w:szCs w:val="24"/>
        </w:rPr>
        <w:t>6.2</w:t>
      </w:r>
      <w:r>
        <w:rPr>
          <w:rFonts w:ascii="楷体" w:hAnsi="楷体" w:eastAsia="楷体"/>
          <w:b/>
          <w:color w:val="000000"/>
          <w:sz w:val="24"/>
          <w:szCs w:val="24"/>
        </w:rPr>
        <w:tab/>
      </w:r>
      <w:r>
        <w:rPr>
          <w:rFonts w:hint="eastAsia" w:ascii="楷体" w:hAnsi="楷体" w:eastAsia="楷体"/>
          <w:b/>
          <w:color w:val="000000"/>
          <w:sz w:val="24"/>
          <w:szCs w:val="24"/>
        </w:rPr>
        <w:t>乙方权责</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6.2.1</w:t>
      </w:r>
      <w:r>
        <w:rPr>
          <w:rFonts w:ascii="楷体" w:hAnsi="楷体" w:eastAsia="楷体"/>
          <w:color w:val="000000"/>
          <w:sz w:val="24"/>
          <w:szCs w:val="24"/>
        </w:rPr>
        <w:tab/>
      </w:r>
      <w:r>
        <w:rPr>
          <w:rFonts w:hint="eastAsia" w:ascii="楷体" w:hAnsi="楷体" w:eastAsia="楷体"/>
          <w:color w:val="000000"/>
          <w:sz w:val="24"/>
          <w:szCs w:val="24"/>
        </w:rPr>
        <w:t>指定专人负责就本合同约定的服务内容与甲方、丙方、丁方进行沟通、联系和推动，并提供协助支持。</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6.2.2</w:t>
      </w:r>
      <w:r>
        <w:rPr>
          <w:rFonts w:ascii="楷体" w:hAnsi="楷体" w:eastAsia="楷体"/>
          <w:color w:val="000000"/>
          <w:sz w:val="24"/>
          <w:szCs w:val="24"/>
        </w:rPr>
        <w:tab/>
      </w:r>
      <w:r>
        <w:rPr>
          <w:rFonts w:hint="eastAsia" w:ascii="楷体" w:hAnsi="楷体" w:eastAsia="楷体"/>
          <w:color w:val="000000"/>
          <w:sz w:val="24"/>
          <w:szCs w:val="24"/>
        </w:rPr>
        <w:t>接受监督，并对甲方、丁方在工作中提出的异议予以及时回应和解释。</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6.2.3</w:t>
      </w:r>
      <w:r>
        <w:rPr>
          <w:rFonts w:ascii="楷体" w:hAnsi="楷体" w:eastAsia="楷体"/>
          <w:color w:val="000000"/>
          <w:sz w:val="24"/>
          <w:szCs w:val="24"/>
        </w:rPr>
        <w:tab/>
      </w:r>
      <w:r>
        <w:rPr>
          <w:rFonts w:hint="eastAsia" w:ascii="楷体" w:hAnsi="楷体" w:eastAsia="楷体"/>
          <w:color w:val="000000"/>
          <w:sz w:val="24"/>
          <w:szCs w:val="24"/>
        </w:rPr>
        <w:t>及时提供完成本合同约定服务内容所需要的各项资料，遵守本合同各项约定，配合其他方进行监管。</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6.2.4</w:t>
      </w:r>
      <w:r>
        <w:rPr>
          <w:rFonts w:ascii="楷体" w:hAnsi="楷体" w:eastAsia="楷体"/>
          <w:color w:val="000000"/>
          <w:sz w:val="24"/>
          <w:szCs w:val="24"/>
        </w:rPr>
        <w:tab/>
      </w:r>
      <w:r>
        <w:rPr>
          <w:rFonts w:hint="eastAsia" w:ascii="楷体" w:hAnsi="楷体" w:eastAsia="楷体"/>
          <w:color w:val="000000"/>
          <w:sz w:val="24"/>
          <w:szCs w:val="24"/>
        </w:rPr>
        <w:t>提供丁方派驻被监管主体的专职人员的办公场所、必要办公设备，并协助解决其住宿问题。</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6.2.5</w:t>
      </w:r>
      <w:r>
        <w:rPr>
          <w:rFonts w:ascii="楷体" w:hAnsi="楷体" w:eastAsia="楷体"/>
          <w:color w:val="000000"/>
          <w:sz w:val="24"/>
          <w:szCs w:val="24"/>
        </w:rPr>
        <w:tab/>
      </w:r>
      <w:r>
        <w:rPr>
          <w:rFonts w:hint="eastAsia" w:ascii="楷体" w:hAnsi="楷体" w:eastAsia="楷体"/>
          <w:color w:val="000000"/>
          <w:sz w:val="24"/>
          <w:szCs w:val="24"/>
        </w:rPr>
        <w:t>乙方不得未经监管公司或委托公司项目组书面同意私自签署任何协议，乙方应当确保其法定代表人</w:t>
      </w:r>
      <w:r>
        <w:rPr>
          <w:rFonts w:ascii="楷体" w:hAnsi="楷体" w:eastAsia="楷体"/>
          <w:color w:val="000000"/>
          <w:sz w:val="24"/>
          <w:szCs w:val="24"/>
        </w:rPr>
        <w:t>/</w:t>
      </w:r>
      <w:r>
        <w:rPr>
          <w:rFonts w:hint="eastAsia" w:ascii="楷体" w:hAnsi="楷体" w:eastAsia="楷体"/>
          <w:color w:val="000000"/>
          <w:sz w:val="24"/>
          <w:szCs w:val="24"/>
        </w:rPr>
        <w:t>投资人或委派代表知悉并履行本合同及相关交易文件项下的义务。</w:t>
      </w:r>
    </w:p>
    <w:p>
      <w:pPr>
        <w:adjustRightInd w:val="0"/>
        <w:snapToGrid w:val="0"/>
        <w:spacing w:after="62" w:afterLines="20" w:line="360" w:lineRule="auto"/>
        <w:ind w:left="648" w:hanging="648" w:hangingChars="270"/>
        <w:rPr>
          <w:rFonts w:ascii="楷体" w:hAnsi="楷体" w:eastAsia="楷体"/>
          <w:color w:val="000000"/>
          <w:sz w:val="24"/>
          <w:szCs w:val="24"/>
        </w:rPr>
      </w:pPr>
    </w:p>
    <w:p>
      <w:pPr>
        <w:adjustRightInd w:val="0"/>
        <w:snapToGrid w:val="0"/>
        <w:spacing w:after="62" w:afterLines="20" w:line="360" w:lineRule="auto"/>
        <w:outlineLvl w:val="1"/>
        <w:rPr>
          <w:rFonts w:ascii="楷体" w:hAnsi="楷体" w:eastAsia="楷体"/>
          <w:b/>
          <w:color w:val="000000"/>
          <w:sz w:val="24"/>
          <w:szCs w:val="24"/>
        </w:rPr>
      </w:pPr>
      <w:r>
        <w:rPr>
          <w:rFonts w:ascii="楷体" w:hAnsi="楷体" w:eastAsia="楷体"/>
          <w:b/>
          <w:color w:val="000000"/>
          <w:sz w:val="24"/>
          <w:szCs w:val="24"/>
        </w:rPr>
        <w:t>6.3</w:t>
      </w:r>
      <w:r>
        <w:rPr>
          <w:rFonts w:hint="eastAsia" w:ascii="楷体" w:hAnsi="楷体" w:eastAsia="楷体"/>
          <w:b/>
          <w:color w:val="000000"/>
          <w:sz w:val="24"/>
          <w:szCs w:val="24"/>
        </w:rPr>
        <w:t>丙方权责</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6.3.1</w:t>
      </w:r>
      <w:r>
        <w:rPr>
          <w:rFonts w:ascii="楷体" w:hAnsi="楷体" w:eastAsia="楷体"/>
          <w:color w:val="000000"/>
          <w:sz w:val="24"/>
          <w:szCs w:val="24"/>
        </w:rPr>
        <w:tab/>
      </w:r>
      <w:r>
        <w:rPr>
          <w:rFonts w:hint="eastAsia" w:ascii="楷体" w:hAnsi="楷体" w:eastAsia="楷体"/>
          <w:color w:val="000000"/>
          <w:sz w:val="24"/>
          <w:szCs w:val="24"/>
        </w:rPr>
        <w:t>指定专人负责就本合同约定的服务内容与甲方、乙方、丁方进行沟通、联系和推动，并提供协助支持。</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6.3.2</w:t>
      </w:r>
      <w:r>
        <w:rPr>
          <w:rFonts w:ascii="楷体" w:hAnsi="楷体" w:eastAsia="楷体"/>
          <w:color w:val="000000"/>
          <w:sz w:val="24"/>
          <w:szCs w:val="24"/>
        </w:rPr>
        <w:tab/>
      </w:r>
      <w:r>
        <w:rPr>
          <w:rFonts w:hint="eastAsia" w:ascii="楷体" w:hAnsi="楷体" w:eastAsia="楷体"/>
          <w:color w:val="000000"/>
          <w:sz w:val="24"/>
          <w:szCs w:val="24"/>
        </w:rPr>
        <w:t>配合甲方、丁方对乙方实施的各项监管措施。</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1"/>
        <w:rPr>
          <w:rFonts w:ascii="楷体" w:hAnsi="楷体" w:eastAsia="楷体"/>
          <w:b/>
          <w:color w:val="000000"/>
          <w:sz w:val="24"/>
          <w:szCs w:val="24"/>
        </w:rPr>
      </w:pPr>
      <w:r>
        <w:rPr>
          <w:rFonts w:ascii="楷体" w:hAnsi="楷体" w:eastAsia="楷体"/>
          <w:b/>
          <w:color w:val="000000"/>
          <w:sz w:val="24"/>
          <w:szCs w:val="24"/>
        </w:rPr>
        <w:t>6.4</w:t>
      </w:r>
      <w:r>
        <w:rPr>
          <w:rFonts w:ascii="楷体" w:hAnsi="楷体" w:eastAsia="楷体"/>
          <w:b/>
          <w:color w:val="000000"/>
          <w:sz w:val="24"/>
          <w:szCs w:val="24"/>
        </w:rPr>
        <w:tab/>
      </w:r>
      <w:r>
        <w:rPr>
          <w:rFonts w:hint="eastAsia" w:ascii="楷体" w:hAnsi="楷体" w:eastAsia="楷体"/>
          <w:b/>
          <w:color w:val="000000"/>
          <w:sz w:val="24"/>
          <w:szCs w:val="24"/>
        </w:rPr>
        <w:t>丁方权责</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6.4.1</w:t>
      </w:r>
      <w:r>
        <w:rPr>
          <w:rFonts w:ascii="楷体" w:hAnsi="楷体" w:eastAsia="楷体"/>
          <w:color w:val="000000"/>
          <w:sz w:val="24"/>
          <w:szCs w:val="24"/>
        </w:rPr>
        <w:tab/>
      </w:r>
      <w:r>
        <w:rPr>
          <w:rFonts w:hint="eastAsia" w:ascii="楷体" w:hAnsi="楷体" w:eastAsia="楷体"/>
          <w:color w:val="000000"/>
          <w:sz w:val="24"/>
          <w:szCs w:val="24"/>
        </w:rPr>
        <w:t>指定专人并组成项目组负责就本合同约定的服务内容与其他方进行沟通、联系和推动，组织专业人员形成专案服务团队，制定详细的服务工作执行计划并安排实施。</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6.4.2</w:t>
      </w:r>
      <w:r>
        <w:rPr>
          <w:rFonts w:hint="eastAsia" w:ascii="楷体" w:hAnsi="楷体" w:eastAsia="楷体"/>
          <w:color w:val="000000"/>
          <w:sz w:val="24"/>
          <w:szCs w:val="24"/>
        </w:rPr>
        <w:t>现场监管人员以本合同</w:t>
      </w:r>
      <w:r>
        <w:rPr>
          <w:rFonts w:ascii="楷体" w:hAnsi="楷体" w:eastAsia="楷体"/>
          <w:color w:val="000000"/>
          <w:sz w:val="24"/>
          <w:szCs w:val="24"/>
        </w:rPr>
        <w:t>6.1.2</w:t>
      </w:r>
      <w:r>
        <w:rPr>
          <w:rFonts w:hint="eastAsia" w:ascii="楷体" w:hAnsi="楷体" w:eastAsia="楷体"/>
          <w:color w:val="000000"/>
          <w:sz w:val="24"/>
          <w:szCs w:val="24"/>
        </w:rPr>
        <w:t>之约定的甲方对接人决策意见作为执行依据，不得执行未经甲方对接人许可的任何决策意见或建议。丁方应就相关决策意见的风险和问题向甲方做出全面分析和提示。</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6.4.3</w:t>
      </w:r>
      <w:r>
        <w:rPr>
          <w:rFonts w:ascii="楷体" w:hAnsi="楷体" w:eastAsia="楷体"/>
          <w:color w:val="000000"/>
          <w:sz w:val="24"/>
          <w:szCs w:val="24"/>
        </w:rPr>
        <w:tab/>
      </w:r>
      <w:r>
        <w:rPr>
          <w:rFonts w:hint="eastAsia" w:ascii="楷体" w:hAnsi="楷体" w:eastAsia="楷体"/>
          <w:color w:val="000000"/>
          <w:sz w:val="24"/>
          <w:szCs w:val="24"/>
        </w:rPr>
        <w:t>有权无条件地、随时调看监管账户中的资金进出情况、明细日记账、原始凭证和银行对账单，为甲方行使和履行本合同约定的各项权责提供一切必要的便利和支持，丁方应无条件予以配合。</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6.4.4</w:t>
      </w:r>
      <w:r>
        <w:rPr>
          <w:rFonts w:ascii="楷体" w:hAnsi="楷体" w:eastAsia="楷体"/>
          <w:color w:val="000000"/>
          <w:sz w:val="24"/>
          <w:szCs w:val="24"/>
        </w:rPr>
        <w:tab/>
      </w:r>
      <w:r>
        <w:rPr>
          <w:rFonts w:hint="eastAsia" w:ascii="楷体" w:hAnsi="楷体" w:eastAsia="楷体"/>
          <w:color w:val="000000"/>
          <w:sz w:val="24"/>
          <w:szCs w:val="24"/>
        </w:rPr>
        <w:t>应按本合同约定向甲方提供相关用款资料扫描件及甲方要求的各项材料文件。</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6.4.5</w:t>
      </w:r>
      <w:r>
        <w:rPr>
          <w:rFonts w:ascii="楷体" w:hAnsi="楷体" w:eastAsia="楷体"/>
          <w:color w:val="000000"/>
          <w:sz w:val="24"/>
          <w:szCs w:val="24"/>
        </w:rPr>
        <w:tab/>
      </w:r>
      <w:r>
        <w:rPr>
          <w:rFonts w:hint="eastAsia" w:ascii="楷体" w:hAnsi="楷体" w:eastAsia="楷体"/>
          <w:color w:val="000000"/>
          <w:sz w:val="24"/>
          <w:szCs w:val="24"/>
        </w:rPr>
        <w:t>应及时提交本合同约定的服务成果，确保提交方案</w:t>
      </w:r>
      <w:r>
        <w:rPr>
          <w:rFonts w:ascii="楷体" w:hAnsi="楷体" w:eastAsia="楷体"/>
          <w:color w:val="000000"/>
          <w:sz w:val="24"/>
          <w:szCs w:val="24"/>
        </w:rPr>
        <w:t>/</w:t>
      </w:r>
      <w:r>
        <w:rPr>
          <w:rFonts w:hint="eastAsia" w:ascii="楷体" w:hAnsi="楷体" w:eastAsia="楷体"/>
          <w:color w:val="000000"/>
          <w:sz w:val="24"/>
          <w:szCs w:val="24"/>
        </w:rPr>
        <w:t>报告的科学性、合理性、准确性及适用性。</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6.4.6</w:t>
      </w:r>
      <w:r>
        <w:rPr>
          <w:rFonts w:ascii="楷体" w:hAnsi="楷体" w:eastAsia="楷体"/>
          <w:color w:val="000000"/>
          <w:sz w:val="24"/>
          <w:szCs w:val="24"/>
        </w:rPr>
        <w:tab/>
      </w:r>
      <w:r>
        <w:rPr>
          <w:rFonts w:hint="eastAsia" w:ascii="楷体" w:hAnsi="楷体" w:eastAsia="楷体"/>
          <w:color w:val="000000"/>
          <w:sz w:val="24"/>
          <w:szCs w:val="24"/>
        </w:rPr>
        <w:t>确保关联人士须承担保密责任，于丁方监管期间取得与监管相关的所有数据均必须保密，不得向其他人士透露或藉以试图取得任何经济利益。</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 xml:space="preserve">6.4.7 </w:t>
      </w:r>
      <w:r>
        <w:rPr>
          <w:rFonts w:hint="eastAsia" w:ascii="楷体" w:hAnsi="楷体" w:eastAsia="楷体"/>
          <w:color w:val="000000"/>
          <w:sz w:val="24"/>
          <w:szCs w:val="24"/>
        </w:rPr>
        <w:t>丁方有权行使本合同及其他各方签署协议文件项下各项约定权利。丁方有义务按本合同约定履行监管职责。</w:t>
      </w:r>
    </w:p>
    <w:p>
      <w:pPr>
        <w:adjustRightInd w:val="0"/>
        <w:snapToGrid w:val="0"/>
        <w:spacing w:after="62" w:afterLines="20" w:line="360" w:lineRule="auto"/>
        <w:rPr>
          <w:rFonts w:ascii="楷体" w:hAnsi="楷体" w:eastAsia="楷体"/>
          <w:b/>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第七条：监管服务费及支付方式</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7.1</w:t>
      </w:r>
      <w:r>
        <w:rPr>
          <w:rFonts w:ascii="楷体" w:hAnsi="楷体" w:eastAsia="楷体"/>
          <w:color w:val="000000"/>
          <w:sz w:val="24"/>
          <w:szCs w:val="24"/>
        </w:rPr>
        <w:tab/>
      </w:r>
      <w:r>
        <w:rPr>
          <w:rFonts w:hint="eastAsia" w:ascii="楷体" w:hAnsi="楷体" w:eastAsia="楷体"/>
          <w:color w:val="000000"/>
          <w:sz w:val="24"/>
          <w:szCs w:val="24"/>
        </w:rPr>
        <w:t>丁方在本合同项下提供审核</w:t>
      </w:r>
      <w:r>
        <w:rPr>
          <w:rFonts w:ascii="楷体" w:hAnsi="楷体" w:eastAsia="楷体"/>
          <w:color w:val="000000"/>
          <w:sz w:val="24"/>
          <w:szCs w:val="24"/>
        </w:rPr>
        <w:t>/</w:t>
      </w:r>
      <w:r>
        <w:rPr>
          <w:rFonts w:hint="eastAsia" w:ascii="楷体" w:hAnsi="楷体" w:eastAsia="楷体"/>
          <w:color w:val="000000"/>
          <w:sz w:val="24"/>
          <w:szCs w:val="24"/>
        </w:rPr>
        <w:t>监管服务应收取的服务费用由甲方承担。</w:t>
      </w:r>
    </w:p>
    <w:p>
      <w:pPr>
        <w:adjustRightInd w:val="0"/>
        <w:snapToGrid w:val="0"/>
        <w:spacing w:after="62" w:afterLines="20" w:line="360" w:lineRule="auto"/>
        <w:ind w:left="648" w:hanging="648" w:hangingChars="270"/>
        <w:outlineLvl w:val="0"/>
        <w:rPr>
          <w:rFonts w:ascii="楷体" w:hAnsi="楷体" w:eastAsia="楷体"/>
          <w:color w:val="000000"/>
          <w:sz w:val="24"/>
          <w:szCs w:val="24"/>
        </w:rPr>
      </w:pPr>
      <w:r>
        <w:rPr>
          <w:rFonts w:ascii="楷体" w:hAnsi="楷体" w:eastAsia="楷体"/>
          <w:color w:val="000000"/>
          <w:sz w:val="24"/>
          <w:szCs w:val="24"/>
        </w:rPr>
        <w:t>7.2</w:t>
      </w:r>
      <w:r>
        <w:rPr>
          <w:rFonts w:ascii="楷体" w:hAnsi="楷体" w:eastAsia="楷体"/>
          <w:color w:val="000000"/>
          <w:sz w:val="24"/>
          <w:szCs w:val="24"/>
        </w:rPr>
        <w:tab/>
      </w:r>
      <w:r>
        <w:rPr>
          <w:rFonts w:hint="eastAsia" w:ascii="楷体" w:hAnsi="楷体" w:eastAsia="楷体"/>
          <w:color w:val="000000"/>
          <w:sz w:val="24"/>
          <w:szCs w:val="24"/>
        </w:rPr>
        <w:t>监管期限/服务期限：自丙方按照《股东借款合同》的约定发放第一笔股东借款之日（含该日，以下简称“监管起始日”）起至甲方书面通知终止监管之日（不含该日）止。</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7.3</w:t>
      </w:r>
      <w:r>
        <w:rPr>
          <w:rFonts w:ascii="楷体" w:hAnsi="楷体" w:eastAsia="楷体"/>
          <w:color w:val="000000"/>
          <w:sz w:val="24"/>
          <w:szCs w:val="24"/>
        </w:rPr>
        <w:tab/>
      </w:r>
      <w:r>
        <w:rPr>
          <w:rFonts w:hint="eastAsia" w:ascii="楷体" w:hAnsi="楷体" w:eastAsia="楷体"/>
          <w:color w:val="000000"/>
          <w:sz w:val="24"/>
          <w:szCs w:val="24"/>
        </w:rPr>
        <w:t>丁方收取本合同和编号为【</w:t>
      </w:r>
      <w:r>
        <w:rPr>
          <w:rFonts w:ascii="楷体" w:hAnsi="楷体" w:eastAsia="楷体"/>
          <w:color w:val="000000"/>
          <w:sz w:val="24"/>
          <w:szCs w:val="24"/>
        </w:rPr>
        <w:t>P2020M12A-CX01-003-05</w:t>
      </w:r>
      <w:r>
        <w:rPr>
          <w:rFonts w:hint="eastAsia" w:ascii="楷体" w:hAnsi="楷体" w:eastAsia="楷体"/>
          <w:color w:val="000000"/>
          <w:sz w:val="24"/>
          <w:szCs w:val="24"/>
        </w:rPr>
        <w:t>】的《项目委托监管协议》项下的监管服务费合计为80万元/年（无论本合同项下监管或编号为【</w:t>
      </w:r>
      <w:r>
        <w:rPr>
          <w:rFonts w:ascii="楷体" w:hAnsi="楷体" w:eastAsia="楷体"/>
          <w:color w:val="000000"/>
          <w:sz w:val="24"/>
          <w:szCs w:val="24"/>
        </w:rPr>
        <w:t>P2020M12A-CX01-003-05</w:t>
      </w:r>
      <w:r>
        <w:rPr>
          <w:rFonts w:hint="eastAsia" w:ascii="楷体" w:hAnsi="楷体" w:eastAsia="楷体"/>
          <w:color w:val="000000"/>
          <w:sz w:val="24"/>
          <w:szCs w:val="24"/>
        </w:rPr>
        <w:t>】的《项目委托监管协议》项下监管其中一个提前结束，存续监管服务的工作内容、工作标准和收费标准（</w:t>
      </w:r>
      <w:r>
        <w:rPr>
          <w:rFonts w:ascii="楷体" w:hAnsi="楷体" w:eastAsia="楷体"/>
          <w:color w:val="000000"/>
          <w:sz w:val="24"/>
          <w:szCs w:val="24"/>
        </w:rPr>
        <w:t>8</w:t>
      </w:r>
      <w:r>
        <w:rPr>
          <w:rFonts w:hint="eastAsia" w:ascii="楷体" w:hAnsi="楷体" w:eastAsia="楷体"/>
          <w:color w:val="000000"/>
          <w:sz w:val="24"/>
          <w:szCs w:val="24"/>
        </w:rPr>
        <w:t>0万元/年）均保持不变），付款方式和收款信息等详见编号为【</w:t>
      </w:r>
      <w:r>
        <w:rPr>
          <w:rFonts w:ascii="楷体" w:hAnsi="楷体" w:eastAsia="楷体"/>
          <w:color w:val="000000"/>
          <w:sz w:val="24"/>
          <w:szCs w:val="24"/>
        </w:rPr>
        <w:t>2020M12A-CX01-003-05</w:t>
      </w:r>
      <w:r>
        <w:rPr>
          <w:rFonts w:hint="eastAsia" w:ascii="楷体" w:hAnsi="楷体" w:eastAsia="楷体"/>
          <w:color w:val="000000"/>
          <w:sz w:val="24"/>
          <w:szCs w:val="24"/>
        </w:rPr>
        <w:t>】的《项目委托监管协议》。</w:t>
      </w:r>
    </w:p>
    <w:p>
      <w:pPr>
        <w:adjustRightInd w:val="0"/>
        <w:snapToGrid w:val="0"/>
        <w:spacing w:after="62" w:afterLines="20" w:line="360" w:lineRule="auto"/>
        <w:ind w:left="634" w:leftChars="302" w:firstLine="60" w:firstLineChars="25"/>
        <w:rPr>
          <w:rFonts w:ascii="楷体" w:hAnsi="楷体" w:eastAsia="楷体"/>
          <w:b/>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第八条：保密义务</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8.1</w:t>
      </w:r>
      <w:r>
        <w:rPr>
          <w:rFonts w:ascii="楷体" w:hAnsi="楷体" w:eastAsia="楷体"/>
          <w:color w:val="000000"/>
          <w:sz w:val="24"/>
          <w:szCs w:val="24"/>
        </w:rPr>
        <w:tab/>
      </w:r>
      <w:r>
        <w:rPr>
          <w:rFonts w:hint="eastAsia" w:ascii="楷体" w:hAnsi="楷体" w:eastAsia="楷体"/>
          <w:color w:val="000000"/>
          <w:sz w:val="24"/>
          <w:szCs w:val="24"/>
        </w:rPr>
        <w:t>与本合同有关的任何信息均为本合同的保密信息，未经各方的明确事先书面同意，任何一方均不得向任何第三方披露本合同或被监管主体及本项目有关的任何信息，但其同意受本保密条款约束的律师或其他顾问以及法律另有规定的除外。</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8.2</w:t>
      </w:r>
      <w:r>
        <w:rPr>
          <w:rFonts w:ascii="楷体" w:hAnsi="楷体" w:eastAsia="楷体"/>
          <w:color w:val="000000"/>
          <w:sz w:val="24"/>
          <w:szCs w:val="24"/>
        </w:rPr>
        <w:tab/>
      </w:r>
      <w:r>
        <w:rPr>
          <w:rFonts w:hint="eastAsia" w:ascii="楷体" w:hAnsi="楷体" w:eastAsia="楷体"/>
          <w:color w:val="000000"/>
          <w:sz w:val="24"/>
          <w:szCs w:val="24"/>
        </w:rPr>
        <w:t>在下列情形下，不适用前述第</w:t>
      </w:r>
      <w:r>
        <w:rPr>
          <w:rFonts w:ascii="楷体" w:hAnsi="楷体" w:eastAsia="楷体"/>
          <w:color w:val="000000"/>
          <w:sz w:val="24"/>
          <w:szCs w:val="24"/>
        </w:rPr>
        <w:t>8.1</w:t>
      </w:r>
      <w:r>
        <w:rPr>
          <w:rFonts w:hint="eastAsia" w:ascii="楷体" w:hAnsi="楷体" w:eastAsia="楷体"/>
          <w:color w:val="000000"/>
          <w:sz w:val="24"/>
          <w:szCs w:val="24"/>
        </w:rPr>
        <w:t>款的约定：</w:t>
      </w:r>
    </w:p>
    <w:p>
      <w:pPr>
        <w:adjustRightInd w:val="0"/>
        <w:snapToGrid w:val="0"/>
        <w:spacing w:after="62" w:afterLines="20" w:line="360" w:lineRule="auto"/>
        <w:ind w:left="648" w:hanging="648" w:hangingChars="270"/>
        <w:outlineLvl w:val="0"/>
        <w:rPr>
          <w:rFonts w:ascii="楷体" w:hAnsi="楷体" w:eastAsia="楷体"/>
          <w:color w:val="000000"/>
          <w:sz w:val="24"/>
          <w:szCs w:val="24"/>
        </w:rPr>
      </w:pPr>
      <w:r>
        <w:rPr>
          <w:rFonts w:ascii="楷体" w:hAnsi="楷体" w:eastAsia="楷体"/>
          <w:color w:val="000000"/>
          <w:sz w:val="24"/>
          <w:szCs w:val="24"/>
        </w:rPr>
        <w:t>8.2.1</w:t>
      </w:r>
      <w:r>
        <w:rPr>
          <w:rFonts w:ascii="楷体" w:hAnsi="楷体" w:eastAsia="楷体"/>
          <w:color w:val="000000"/>
          <w:sz w:val="24"/>
          <w:szCs w:val="24"/>
        </w:rPr>
        <w:tab/>
      </w:r>
      <w:r>
        <w:rPr>
          <w:rFonts w:hint="eastAsia" w:ascii="楷体" w:hAnsi="楷体" w:eastAsia="楷体"/>
          <w:color w:val="000000"/>
          <w:sz w:val="24"/>
          <w:szCs w:val="24"/>
        </w:rPr>
        <w:t>法律、法规、任何监管机关要求或根据信托计划信托文件约定披露或使用的；</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8.2.2</w:t>
      </w:r>
      <w:r>
        <w:rPr>
          <w:rFonts w:ascii="楷体" w:hAnsi="楷体" w:eastAsia="楷体"/>
          <w:color w:val="000000"/>
          <w:sz w:val="24"/>
          <w:szCs w:val="24"/>
        </w:rPr>
        <w:tab/>
      </w:r>
      <w:r>
        <w:rPr>
          <w:rFonts w:hint="eastAsia" w:ascii="楷体" w:hAnsi="楷体" w:eastAsia="楷体"/>
          <w:color w:val="000000"/>
          <w:sz w:val="24"/>
          <w:szCs w:val="24"/>
        </w:rPr>
        <w:t>为将本合同的全部利益赋予各方而要求披露或使用且经各方共同书面同意的；</w:t>
      </w:r>
    </w:p>
    <w:p>
      <w:pPr>
        <w:adjustRightInd w:val="0"/>
        <w:snapToGrid w:val="0"/>
        <w:spacing w:after="62" w:afterLines="20" w:line="360" w:lineRule="auto"/>
        <w:ind w:left="648" w:hanging="648" w:hangingChars="270"/>
        <w:outlineLvl w:val="0"/>
        <w:rPr>
          <w:rFonts w:ascii="楷体" w:hAnsi="楷体" w:eastAsia="楷体"/>
          <w:color w:val="000000"/>
          <w:sz w:val="24"/>
          <w:szCs w:val="24"/>
        </w:rPr>
      </w:pPr>
      <w:r>
        <w:rPr>
          <w:rFonts w:ascii="楷体" w:hAnsi="楷体" w:eastAsia="楷体"/>
          <w:color w:val="000000"/>
          <w:sz w:val="24"/>
          <w:szCs w:val="24"/>
        </w:rPr>
        <w:t>8.2.3</w:t>
      </w:r>
      <w:r>
        <w:rPr>
          <w:rFonts w:ascii="楷体" w:hAnsi="楷体" w:eastAsia="楷体"/>
          <w:color w:val="000000"/>
          <w:sz w:val="24"/>
          <w:szCs w:val="24"/>
        </w:rPr>
        <w:tab/>
      </w:r>
      <w:r>
        <w:rPr>
          <w:rFonts w:hint="eastAsia" w:ascii="楷体" w:hAnsi="楷体" w:eastAsia="楷体"/>
          <w:color w:val="000000"/>
          <w:sz w:val="24"/>
          <w:szCs w:val="24"/>
        </w:rPr>
        <w:t>因本合同或根据本合同而订立的任何其他合同而引起的任何司法程序而要求披露或使用的，或合理向税收机关披露有关披露方税收事宜的；</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8.2.4</w:t>
      </w:r>
      <w:r>
        <w:rPr>
          <w:rFonts w:ascii="楷体" w:hAnsi="楷体" w:eastAsia="楷体"/>
          <w:color w:val="000000"/>
          <w:sz w:val="24"/>
          <w:szCs w:val="24"/>
        </w:rPr>
        <w:tab/>
      </w:r>
      <w:r>
        <w:rPr>
          <w:rFonts w:hint="eastAsia" w:ascii="楷体" w:hAnsi="楷体" w:eastAsia="楷体"/>
          <w:color w:val="000000"/>
          <w:sz w:val="24"/>
          <w:szCs w:val="24"/>
        </w:rPr>
        <w:t>非因违反本合同，信息已进入公知范围的；</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8.2.5</w:t>
      </w:r>
      <w:r>
        <w:rPr>
          <w:rFonts w:ascii="楷体" w:hAnsi="楷体" w:eastAsia="楷体"/>
          <w:color w:val="000000"/>
          <w:sz w:val="24"/>
          <w:szCs w:val="24"/>
        </w:rPr>
        <w:tab/>
      </w:r>
      <w:r>
        <w:rPr>
          <w:rFonts w:hint="eastAsia" w:ascii="楷体" w:hAnsi="楷体" w:eastAsia="楷体"/>
          <w:color w:val="000000"/>
          <w:sz w:val="24"/>
          <w:szCs w:val="24"/>
        </w:rPr>
        <w:t>其他方已事先书面批准披露或使用的；</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8.2.6</w:t>
      </w:r>
      <w:r>
        <w:rPr>
          <w:rFonts w:ascii="楷体" w:hAnsi="楷体" w:eastAsia="楷体"/>
          <w:color w:val="000000"/>
          <w:sz w:val="24"/>
          <w:szCs w:val="24"/>
        </w:rPr>
        <w:tab/>
      </w:r>
      <w:r>
        <w:rPr>
          <w:rFonts w:hint="eastAsia" w:ascii="楷体" w:hAnsi="楷体" w:eastAsia="楷体"/>
          <w:color w:val="000000"/>
          <w:sz w:val="24"/>
          <w:szCs w:val="24"/>
        </w:rPr>
        <w:t>信息是在本合同签订后独立开发的。</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8.3</w:t>
      </w:r>
      <w:r>
        <w:rPr>
          <w:rFonts w:ascii="楷体" w:hAnsi="楷体" w:eastAsia="楷体"/>
          <w:color w:val="000000"/>
          <w:sz w:val="24"/>
          <w:szCs w:val="24"/>
        </w:rPr>
        <w:tab/>
      </w:r>
      <w:r>
        <w:rPr>
          <w:rFonts w:hint="eastAsia" w:ascii="楷体" w:hAnsi="楷体" w:eastAsia="楷体"/>
          <w:color w:val="000000"/>
          <w:sz w:val="24"/>
          <w:szCs w:val="24"/>
        </w:rPr>
        <w:t>本条款下保密义务不因本合同终止而终止。为执行本合同目的，各方保证对在讨论、签订、执行本合同过程中所获悉的相关情况限定在有限范围内知晓。</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8.4</w:t>
      </w:r>
      <w:r>
        <w:rPr>
          <w:rFonts w:ascii="楷体" w:hAnsi="楷体" w:eastAsia="楷体"/>
          <w:color w:val="000000"/>
          <w:sz w:val="24"/>
          <w:szCs w:val="24"/>
        </w:rPr>
        <w:tab/>
      </w:r>
      <w:r>
        <w:rPr>
          <w:rFonts w:hint="eastAsia" w:ascii="楷体" w:hAnsi="楷体" w:eastAsia="楷体"/>
          <w:color w:val="000000"/>
          <w:sz w:val="24"/>
          <w:szCs w:val="24"/>
        </w:rPr>
        <w:t>如果一方违反保密义务造成其他各方损失的，应赔偿其他各方的直接损失和间接损失。</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8.5</w:t>
      </w:r>
      <w:r>
        <w:rPr>
          <w:rFonts w:ascii="楷体" w:hAnsi="楷体" w:eastAsia="楷体"/>
          <w:color w:val="000000"/>
          <w:sz w:val="24"/>
          <w:szCs w:val="24"/>
        </w:rPr>
        <w:tab/>
      </w:r>
      <w:r>
        <w:rPr>
          <w:rFonts w:hint="eastAsia" w:ascii="楷体" w:hAnsi="楷体" w:eastAsia="楷体"/>
          <w:color w:val="000000"/>
          <w:sz w:val="24"/>
          <w:szCs w:val="24"/>
        </w:rPr>
        <w:t>本条在本合同终止或解除后仍继续有效。</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第九条：通知</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9.1</w:t>
      </w:r>
      <w:r>
        <w:rPr>
          <w:rFonts w:ascii="楷体" w:hAnsi="楷体" w:eastAsia="楷体"/>
          <w:color w:val="000000"/>
          <w:sz w:val="24"/>
          <w:szCs w:val="24"/>
        </w:rPr>
        <w:tab/>
      </w:r>
      <w:r>
        <w:rPr>
          <w:rFonts w:hint="eastAsia" w:ascii="楷体" w:hAnsi="楷体" w:eastAsia="楷体"/>
          <w:color w:val="000000"/>
          <w:sz w:val="24"/>
          <w:szCs w:val="24"/>
        </w:rPr>
        <w:t>联系信息以本合同首部记载为准。除非本合同另有规定，本合同项下各方之间的一切通知均应使用中文，通过专人送达、挂号信函、快递、电传、传真、或电报送达。通知在下列日期视为到达日：</w:t>
      </w:r>
    </w:p>
    <w:p>
      <w:pPr>
        <w:adjustRightInd w:val="0"/>
        <w:snapToGrid w:val="0"/>
        <w:spacing w:after="62" w:afterLines="20" w:line="360" w:lineRule="auto"/>
        <w:ind w:left="727" w:leftChars="270" w:hanging="160" w:hangingChars="67"/>
        <w:rPr>
          <w:rFonts w:ascii="楷体" w:hAnsi="楷体" w:eastAsia="楷体"/>
          <w:color w:val="000000"/>
          <w:sz w:val="24"/>
          <w:szCs w:val="24"/>
        </w:rPr>
      </w:pPr>
      <w:r>
        <w:rPr>
          <w:rFonts w:ascii="楷体" w:hAnsi="楷体" w:eastAsia="楷体"/>
          <w:color w:val="000000"/>
          <w:sz w:val="24"/>
          <w:szCs w:val="24"/>
        </w:rPr>
        <w:t>1)</w:t>
      </w:r>
      <w:r>
        <w:rPr>
          <w:rFonts w:ascii="楷体" w:hAnsi="楷体" w:eastAsia="楷体"/>
          <w:color w:val="000000"/>
          <w:sz w:val="24"/>
          <w:szCs w:val="24"/>
        </w:rPr>
        <w:tab/>
      </w:r>
      <w:r>
        <w:rPr>
          <w:rFonts w:hint="eastAsia" w:ascii="楷体" w:hAnsi="楷体" w:eastAsia="楷体"/>
          <w:color w:val="000000"/>
          <w:sz w:val="24"/>
          <w:szCs w:val="24"/>
        </w:rPr>
        <w:t>专人送达：通知方取得的被通知方签收单所示日；</w:t>
      </w:r>
    </w:p>
    <w:p>
      <w:pPr>
        <w:adjustRightInd w:val="0"/>
        <w:snapToGrid w:val="0"/>
        <w:spacing w:after="62" w:afterLines="20" w:line="360" w:lineRule="auto"/>
        <w:ind w:left="727" w:leftChars="270" w:hanging="160" w:hangingChars="67"/>
        <w:rPr>
          <w:rFonts w:ascii="楷体" w:hAnsi="楷体" w:eastAsia="楷体"/>
          <w:color w:val="000000"/>
          <w:sz w:val="24"/>
          <w:szCs w:val="24"/>
        </w:rPr>
      </w:pPr>
      <w:r>
        <w:rPr>
          <w:rFonts w:ascii="楷体" w:hAnsi="楷体" w:eastAsia="楷体"/>
          <w:color w:val="000000"/>
          <w:sz w:val="24"/>
          <w:szCs w:val="24"/>
        </w:rPr>
        <w:t>2)</w:t>
      </w:r>
      <w:r>
        <w:rPr>
          <w:rFonts w:ascii="楷体" w:hAnsi="楷体" w:eastAsia="楷体"/>
          <w:color w:val="000000"/>
          <w:sz w:val="24"/>
          <w:szCs w:val="24"/>
        </w:rPr>
        <w:tab/>
      </w:r>
      <w:r>
        <w:rPr>
          <w:rFonts w:hint="eastAsia" w:ascii="楷体" w:hAnsi="楷体" w:eastAsia="楷体"/>
          <w:color w:val="000000"/>
          <w:sz w:val="24"/>
          <w:szCs w:val="24"/>
        </w:rPr>
        <w:t>挂号信邮递：发出通知方持有的国内挂号函件收据所示日后第</w:t>
      </w:r>
      <w:r>
        <w:rPr>
          <w:rFonts w:ascii="楷体" w:hAnsi="楷体" w:eastAsia="楷体"/>
          <w:color w:val="000000"/>
          <w:sz w:val="24"/>
          <w:szCs w:val="24"/>
        </w:rPr>
        <w:t>5</w:t>
      </w:r>
      <w:r>
        <w:rPr>
          <w:rFonts w:hint="eastAsia" w:ascii="楷体" w:hAnsi="楷体" w:eastAsia="楷体"/>
          <w:color w:val="000000"/>
          <w:sz w:val="24"/>
          <w:szCs w:val="24"/>
        </w:rPr>
        <w:t>日；</w:t>
      </w:r>
    </w:p>
    <w:p>
      <w:pPr>
        <w:adjustRightInd w:val="0"/>
        <w:snapToGrid w:val="0"/>
        <w:spacing w:after="62" w:afterLines="20" w:line="360" w:lineRule="auto"/>
        <w:ind w:left="727" w:leftChars="270" w:hanging="160" w:hangingChars="67"/>
        <w:rPr>
          <w:rFonts w:ascii="楷体" w:hAnsi="楷体" w:eastAsia="楷体"/>
          <w:color w:val="000000"/>
          <w:sz w:val="24"/>
          <w:szCs w:val="24"/>
        </w:rPr>
      </w:pPr>
      <w:r>
        <w:rPr>
          <w:rFonts w:ascii="楷体" w:hAnsi="楷体" w:eastAsia="楷体"/>
          <w:color w:val="000000"/>
          <w:sz w:val="24"/>
          <w:szCs w:val="24"/>
        </w:rPr>
        <w:t>3)</w:t>
      </w:r>
      <w:r>
        <w:rPr>
          <w:rFonts w:ascii="楷体" w:hAnsi="楷体" w:eastAsia="楷体"/>
          <w:color w:val="000000"/>
          <w:sz w:val="24"/>
          <w:szCs w:val="24"/>
        </w:rPr>
        <w:tab/>
      </w:r>
      <w:r>
        <w:rPr>
          <w:rFonts w:hint="eastAsia" w:ascii="楷体" w:hAnsi="楷体" w:eastAsia="楷体"/>
          <w:color w:val="000000"/>
          <w:sz w:val="24"/>
          <w:szCs w:val="24"/>
        </w:rPr>
        <w:t>传真：收到成功发送确认后的第</w:t>
      </w:r>
      <w:r>
        <w:rPr>
          <w:rFonts w:ascii="楷体" w:hAnsi="楷体" w:eastAsia="楷体"/>
          <w:color w:val="000000"/>
          <w:sz w:val="24"/>
          <w:szCs w:val="24"/>
        </w:rPr>
        <w:t>1</w:t>
      </w:r>
      <w:r>
        <w:rPr>
          <w:rFonts w:hint="eastAsia" w:ascii="楷体" w:hAnsi="楷体" w:eastAsia="楷体"/>
          <w:color w:val="000000"/>
          <w:sz w:val="24"/>
          <w:szCs w:val="24"/>
        </w:rPr>
        <w:t>个工作日；</w:t>
      </w:r>
    </w:p>
    <w:p>
      <w:pPr>
        <w:adjustRightInd w:val="0"/>
        <w:snapToGrid w:val="0"/>
        <w:spacing w:after="62" w:afterLines="20" w:line="360" w:lineRule="auto"/>
        <w:ind w:left="727" w:leftChars="270" w:hanging="160" w:hangingChars="67"/>
        <w:rPr>
          <w:rFonts w:ascii="楷体" w:hAnsi="楷体" w:eastAsia="楷体"/>
          <w:color w:val="000000"/>
          <w:sz w:val="24"/>
          <w:szCs w:val="24"/>
        </w:rPr>
      </w:pPr>
      <w:r>
        <w:rPr>
          <w:rFonts w:ascii="楷体" w:hAnsi="楷体" w:eastAsia="楷体"/>
          <w:color w:val="000000"/>
          <w:sz w:val="24"/>
          <w:szCs w:val="24"/>
        </w:rPr>
        <w:t>4)</w:t>
      </w:r>
      <w:r>
        <w:rPr>
          <w:rFonts w:ascii="楷体" w:hAnsi="楷体" w:eastAsia="楷体"/>
          <w:color w:val="000000"/>
          <w:sz w:val="24"/>
          <w:szCs w:val="24"/>
        </w:rPr>
        <w:tab/>
      </w:r>
      <w:r>
        <w:rPr>
          <w:rFonts w:hint="eastAsia" w:ascii="楷体" w:hAnsi="楷体" w:eastAsia="楷体"/>
          <w:color w:val="000000"/>
          <w:sz w:val="24"/>
          <w:szCs w:val="24"/>
        </w:rPr>
        <w:t>快递：发出通知方持有的发送凭证上邮戳日起第</w:t>
      </w:r>
      <w:r>
        <w:rPr>
          <w:rFonts w:ascii="楷体" w:hAnsi="楷体" w:eastAsia="楷体"/>
          <w:color w:val="000000"/>
          <w:sz w:val="24"/>
          <w:szCs w:val="24"/>
        </w:rPr>
        <w:t>4</w:t>
      </w:r>
      <w:r>
        <w:rPr>
          <w:rFonts w:hint="eastAsia" w:ascii="楷体" w:hAnsi="楷体" w:eastAsia="楷体"/>
          <w:color w:val="000000"/>
          <w:sz w:val="24"/>
          <w:szCs w:val="24"/>
        </w:rPr>
        <w:t>日。</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9.2</w:t>
      </w:r>
      <w:r>
        <w:rPr>
          <w:rFonts w:ascii="楷体" w:hAnsi="楷体" w:eastAsia="楷体"/>
          <w:color w:val="000000"/>
          <w:sz w:val="24"/>
          <w:szCs w:val="24"/>
        </w:rPr>
        <w:tab/>
      </w:r>
      <w:r>
        <w:rPr>
          <w:rFonts w:hint="eastAsia" w:ascii="楷体" w:hAnsi="楷体" w:eastAsia="楷体"/>
          <w:color w:val="000000"/>
          <w:sz w:val="24"/>
          <w:szCs w:val="24"/>
        </w:rPr>
        <w:t>采取上述方式发送，若被通知方拒收，或因被通知方更改通讯方式但未按照本合同约定通知其他方导致通知无法送达的，则通知发出之日视为到达日。</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9.3</w:t>
      </w:r>
      <w:r>
        <w:rPr>
          <w:rFonts w:ascii="楷体" w:hAnsi="楷体" w:eastAsia="楷体"/>
          <w:color w:val="000000"/>
          <w:sz w:val="24"/>
          <w:szCs w:val="24"/>
        </w:rPr>
        <w:tab/>
      </w:r>
      <w:r>
        <w:rPr>
          <w:rFonts w:hint="eastAsia" w:ascii="楷体" w:hAnsi="楷体" w:eastAsia="楷体"/>
          <w:color w:val="000000"/>
          <w:sz w:val="24"/>
          <w:szCs w:val="24"/>
        </w:rPr>
        <w:t>一方通讯地址或联络方式发生变化，应自发生变化之日起</w:t>
      </w:r>
      <w:r>
        <w:rPr>
          <w:rFonts w:ascii="楷体" w:hAnsi="楷体" w:eastAsia="楷体"/>
          <w:color w:val="000000"/>
          <w:sz w:val="24"/>
          <w:szCs w:val="24"/>
        </w:rPr>
        <w:t>10</w:t>
      </w:r>
      <w:r>
        <w:rPr>
          <w:rFonts w:hint="eastAsia" w:ascii="楷体" w:hAnsi="楷体" w:eastAsia="楷体"/>
          <w:color w:val="000000"/>
          <w:sz w:val="24"/>
          <w:szCs w:val="24"/>
        </w:rPr>
        <w:t>日内以书面形式通知其他方。任何一方违反前述规定，除非法律另有规定，变动一方应对由此而造成的影响和损失承担责任。</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9.4</w:t>
      </w:r>
      <w:r>
        <w:rPr>
          <w:rFonts w:ascii="楷体" w:hAnsi="楷体" w:eastAsia="楷体"/>
          <w:color w:val="000000"/>
          <w:sz w:val="24"/>
          <w:szCs w:val="24"/>
        </w:rPr>
        <w:tab/>
      </w:r>
      <w:r>
        <w:rPr>
          <w:rFonts w:hint="eastAsia" w:ascii="楷体" w:hAnsi="楷体" w:eastAsia="楷体"/>
          <w:color w:val="000000"/>
          <w:sz w:val="24"/>
          <w:szCs w:val="24"/>
        </w:rPr>
        <w:t>各方同意本合同首部约定的各方的通讯地址及联系方式（含根据本合同约定变更的地址及联系信息，下同）适用于争议解决阶段（包括但不限于仲裁或一审、二审、再审、执行等阶段），作为仲裁机构或人民法院法律文书及其他文件、信息的有效送达地址及接收方式。</w:t>
      </w:r>
    </w:p>
    <w:p>
      <w:pPr>
        <w:adjustRightInd w:val="0"/>
        <w:snapToGrid w:val="0"/>
        <w:spacing w:after="62" w:afterLines="20" w:line="360" w:lineRule="auto"/>
        <w:rPr>
          <w:rFonts w:ascii="楷体" w:hAnsi="楷体" w:eastAsia="楷体"/>
          <w:b/>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第十条：合同生效、终止及转让</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10.1</w:t>
      </w:r>
      <w:r>
        <w:rPr>
          <w:rFonts w:ascii="楷体" w:hAnsi="楷体" w:eastAsia="楷体"/>
          <w:color w:val="000000"/>
          <w:sz w:val="24"/>
          <w:szCs w:val="24"/>
        </w:rPr>
        <w:tab/>
      </w:r>
      <w:r>
        <w:rPr>
          <w:rFonts w:hint="eastAsia" w:ascii="楷体" w:hAnsi="楷体" w:eastAsia="楷体"/>
          <w:color w:val="000000"/>
          <w:sz w:val="24"/>
          <w:szCs w:val="24"/>
        </w:rPr>
        <w:t>本合同自各方法定代表人或授权代理人签名或签章并加盖公章或合同专用章之日起生效。授权代理人签署本合同的，应提交合法有效的书面授权文件。</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10.2</w:t>
      </w:r>
      <w:r>
        <w:rPr>
          <w:rFonts w:ascii="楷体" w:hAnsi="楷体" w:eastAsia="楷体"/>
          <w:color w:val="000000"/>
          <w:sz w:val="24"/>
          <w:szCs w:val="24"/>
        </w:rPr>
        <w:tab/>
      </w:r>
      <w:r>
        <w:rPr>
          <w:rFonts w:hint="eastAsia" w:ascii="楷体" w:hAnsi="楷体" w:eastAsia="楷体"/>
          <w:color w:val="000000"/>
          <w:sz w:val="24"/>
          <w:szCs w:val="24"/>
        </w:rPr>
        <w:t>本合同有效期至甲方书面通知终止监管之日止，具体监管终止日期以甲方书面通知为准。</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10.3</w:t>
      </w:r>
      <w:r>
        <w:rPr>
          <w:rFonts w:ascii="楷体" w:hAnsi="楷体" w:eastAsia="楷体"/>
          <w:color w:val="000000"/>
          <w:sz w:val="24"/>
          <w:szCs w:val="24"/>
        </w:rPr>
        <w:tab/>
      </w:r>
      <w:r>
        <w:rPr>
          <w:rFonts w:hint="eastAsia" w:ascii="楷体" w:hAnsi="楷体" w:eastAsia="楷体"/>
          <w:color w:val="000000"/>
          <w:sz w:val="24"/>
          <w:szCs w:val="24"/>
        </w:rPr>
        <w:t>未经甲方书面同意，乙方、丙方、丁方均不得将本合同项下的任何权利或义务转让给第三人。</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10.4</w:t>
      </w:r>
      <w:r>
        <w:rPr>
          <w:rFonts w:ascii="楷体" w:hAnsi="楷体" w:eastAsia="楷体"/>
          <w:color w:val="000000"/>
          <w:sz w:val="24"/>
          <w:szCs w:val="24"/>
        </w:rPr>
        <w:tab/>
      </w:r>
      <w:r>
        <w:rPr>
          <w:rFonts w:hint="eastAsia" w:ascii="楷体" w:hAnsi="楷体" w:eastAsia="楷体"/>
          <w:color w:val="000000"/>
          <w:sz w:val="24"/>
          <w:szCs w:val="24"/>
        </w:rPr>
        <w:t>若合同执行过程中出现委托方单位变更，本合同仍然有效。甲方须向受让方说明本委托监管合同，并由甲方的受让方按照本合同的格式和内容与丁方重新签订合同，且其他各方应接受该等约定条款。</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10.5</w:t>
      </w:r>
      <w:r>
        <w:rPr>
          <w:rFonts w:ascii="楷体" w:hAnsi="楷体" w:eastAsia="楷体"/>
          <w:color w:val="000000"/>
          <w:sz w:val="24"/>
          <w:szCs w:val="24"/>
        </w:rPr>
        <w:tab/>
      </w:r>
      <w:r>
        <w:rPr>
          <w:rFonts w:hint="eastAsia" w:ascii="楷体" w:hAnsi="楷体" w:eastAsia="楷体"/>
          <w:color w:val="000000"/>
          <w:sz w:val="24"/>
          <w:szCs w:val="24"/>
        </w:rPr>
        <w:t>如果丁方提供的服务不符合本合同的约定，且经甲方通知仍未进行整改，或者丁方在提供服务过程中有重大疏忽过错、故意隐瞒、提供虚假信息报告等情形的，甲方有权单方解除本合同。</w:t>
      </w:r>
    </w:p>
    <w:p>
      <w:pPr>
        <w:adjustRightInd w:val="0"/>
        <w:snapToGrid w:val="0"/>
        <w:spacing w:after="62" w:afterLines="20" w:line="360" w:lineRule="auto"/>
        <w:ind w:left="648" w:hanging="648" w:hangingChars="270"/>
        <w:rPr>
          <w:rFonts w:ascii="楷体" w:hAnsi="楷体" w:eastAsia="楷体"/>
          <w:color w:val="000000"/>
          <w:sz w:val="24"/>
          <w:szCs w:val="24"/>
        </w:rPr>
      </w:pPr>
      <w:r>
        <w:rPr>
          <w:rFonts w:hint="eastAsia" w:ascii="楷体" w:hAnsi="楷体" w:eastAsia="楷体"/>
          <w:color w:val="000000"/>
          <w:sz w:val="24"/>
          <w:szCs w:val="24"/>
        </w:rPr>
        <w:t>1</w:t>
      </w:r>
      <w:r>
        <w:rPr>
          <w:rFonts w:ascii="楷体" w:hAnsi="楷体" w:eastAsia="楷体"/>
          <w:color w:val="000000"/>
          <w:sz w:val="24"/>
          <w:szCs w:val="24"/>
        </w:rPr>
        <w:t xml:space="preserve">0.6 </w:t>
      </w:r>
      <w:r>
        <w:rPr>
          <w:rFonts w:hint="eastAsia" w:ascii="楷体" w:hAnsi="楷体" w:eastAsia="楷体"/>
          <w:color w:val="000000"/>
          <w:sz w:val="24"/>
          <w:szCs w:val="24"/>
        </w:rPr>
        <w:t>如拟竞拍项目进入合作开发阶段，各方同意按照甲方审批的项目监管方案就本合同签署补充协议，被监管主体同意按照甲方审批的项目监管方案接受甲方及监管公司对其证照、印鉴、银行账户、资金支付、项目开发、项目销售等各项监管安排。</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第十一条：违约责任</w:t>
      </w:r>
    </w:p>
    <w:p>
      <w:pPr>
        <w:adjustRightInd w:val="0"/>
        <w:snapToGrid w:val="0"/>
        <w:spacing w:after="62" w:afterLines="20" w:line="360" w:lineRule="auto"/>
        <w:ind w:left="648" w:hanging="648" w:hangingChars="270"/>
        <w:outlineLvl w:val="0"/>
        <w:rPr>
          <w:rFonts w:ascii="楷体" w:hAnsi="楷体" w:eastAsia="楷体"/>
          <w:color w:val="000000"/>
          <w:sz w:val="24"/>
          <w:szCs w:val="24"/>
        </w:rPr>
      </w:pPr>
      <w:r>
        <w:rPr>
          <w:rFonts w:ascii="楷体" w:hAnsi="楷体" w:eastAsia="楷体"/>
          <w:color w:val="000000"/>
          <w:sz w:val="24"/>
          <w:szCs w:val="24"/>
        </w:rPr>
        <w:t>11.1</w:t>
      </w:r>
      <w:r>
        <w:rPr>
          <w:rFonts w:hint="eastAsia" w:ascii="楷体" w:hAnsi="楷体" w:eastAsia="楷体"/>
          <w:color w:val="000000"/>
          <w:sz w:val="24"/>
          <w:szCs w:val="24"/>
        </w:rPr>
        <w:t>丁方作为甲方派出项目的监督管理服务单位，有向甲方的建议权，无决策权，丁方严格执行协议内容（仅对协议约定的监管内容实施监管）并确保达到本合同约定的监管效果，如发生违反本合同约定和</w:t>
      </w:r>
      <w:r>
        <w:rPr>
          <w:rFonts w:ascii="楷体" w:hAnsi="楷体" w:eastAsia="楷体"/>
          <w:color w:val="000000"/>
          <w:sz w:val="24"/>
          <w:szCs w:val="24"/>
        </w:rPr>
        <w:t>/</w:t>
      </w:r>
      <w:r>
        <w:rPr>
          <w:rFonts w:hint="eastAsia" w:ascii="楷体" w:hAnsi="楷体" w:eastAsia="楷体"/>
          <w:color w:val="000000"/>
          <w:sz w:val="24"/>
          <w:szCs w:val="24"/>
        </w:rPr>
        <w:t>或未按本合同约定尽职履行监管责任的，甲方有权终止对丁方的委托，同时丁方应向甲方支付金额等同于其实际收到的监管服务费的违约金，并承担相应的经济责任。</w:t>
      </w:r>
    </w:p>
    <w:p>
      <w:pPr>
        <w:adjustRightInd w:val="0"/>
        <w:snapToGrid w:val="0"/>
        <w:spacing w:after="62" w:afterLines="20" w:line="360" w:lineRule="auto"/>
        <w:ind w:left="648" w:hanging="648" w:hangingChars="270"/>
        <w:outlineLvl w:val="0"/>
        <w:rPr>
          <w:rFonts w:ascii="楷体" w:hAnsi="楷体" w:eastAsia="楷体"/>
          <w:color w:val="000000"/>
          <w:sz w:val="24"/>
          <w:szCs w:val="24"/>
        </w:rPr>
      </w:pPr>
      <w:r>
        <w:rPr>
          <w:rFonts w:ascii="楷体" w:hAnsi="楷体" w:eastAsia="楷体"/>
          <w:color w:val="000000"/>
          <w:sz w:val="24"/>
          <w:szCs w:val="24"/>
        </w:rPr>
        <w:t>11.2</w:t>
      </w:r>
      <w:r>
        <w:rPr>
          <w:rFonts w:ascii="楷体" w:hAnsi="楷体" w:eastAsia="楷体"/>
          <w:color w:val="000000"/>
          <w:sz w:val="24"/>
          <w:szCs w:val="24"/>
        </w:rPr>
        <w:tab/>
      </w:r>
      <w:r>
        <w:rPr>
          <w:rFonts w:hint="eastAsia" w:ascii="楷体" w:hAnsi="楷体" w:eastAsia="楷体"/>
          <w:color w:val="000000"/>
          <w:sz w:val="24"/>
          <w:szCs w:val="24"/>
        </w:rPr>
        <w:t>在本合同约定的监管服务项下，因乙方、丙方原因故意提供错误虚假信息给甲方、丁方而造成的直接或间接损失，由乙方及丙方负责。</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11.3</w:t>
      </w:r>
      <w:r>
        <w:rPr>
          <w:rFonts w:ascii="楷体" w:hAnsi="楷体" w:eastAsia="楷体"/>
          <w:color w:val="000000"/>
          <w:sz w:val="24"/>
          <w:szCs w:val="24"/>
        </w:rPr>
        <w:tab/>
      </w:r>
      <w:r>
        <w:rPr>
          <w:rFonts w:hint="eastAsia" w:ascii="楷体" w:hAnsi="楷体" w:eastAsia="楷体"/>
          <w:color w:val="000000"/>
          <w:sz w:val="24"/>
          <w:szCs w:val="24"/>
        </w:rPr>
        <w:t>甲方仅以</w:t>
      </w:r>
      <w:r>
        <w:rPr>
          <w:rFonts w:ascii="楷体" w:hAnsi="楷体" w:eastAsia="楷体"/>
          <w:color w:val="000000"/>
          <w:sz w:val="24"/>
          <w:szCs w:val="24"/>
        </w:rPr>
        <w:t>信托计划第Ⅱ期</w:t>
      </w:r>
      <w:r>
        <w:rPr>
          <w:rFonts w:hint="eastAsia" w:ascii="楷体" w:hAnsi="楷体" w:eastAsia="楷体"/>
          <w:color w:val="000000"/>
          <w:sz w:val="24"/>
          <w:szCs w:val="24"/>
        </w:rPr>
        <w:t>项下信托财产为限承担责任。</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第十二条：适用法律及争议解决</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12.1</w:t>
      </w:r>
      <w:r>
        <w:rPr>
          <w:rFonts w:ascii="楷体" w:hAnsi="楷体" w:eastAsia="楷体"/>
          <w:color w:val="000000"/>
          <w:sz w:val="24"/>
          <w:szCs w:val="24"/>
        </w:rPr>
        <w:tab/>
      </w:r>
      <w:r>
        <w:rPr>
          <w:rFonts w:hint="eastAsia" w:ascii="楷体" w:hAnsi="楷体" w:eastAsia="楷体"/>
          <w:color w:val="000000"/>
          <w:sz w:val="24"/>
          <w:szCs w:val="24"/>
        </w:rPr>
        <w:t>本合同的成立、有效、解释和履行，适用中华人民共和国法律大陆地区（不含香港特别行政区、澳门特别行政区和台湾地区）。</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12.2</w:t>
      </w:r>
      <w:r>
        <w:rPr>
          <w:rFonts w:ascii="楷体" w:hAnsi="楷体" w:eastAsia="楷体"/>
          <w:color w:val="000000"/>
          <w:sz w:val="24"/>
          <w:szCs w:val="24"/>
        </w:rPr>
        <w:tab/>
      </w:r>
      <w:r>
        <w:rPr>
          <w:rFonts w:hint="eastAsia" w:ascii="楷体" w:hAnsi="楷体" w:eastAsia="楷体"/>
          <w:color w:val="000000"/>
          <w:sz w:val="24"/>
          <w:szCs w:val="24"/>
        </w:rPr>
        <w:t>在履行本合同过程中，合同当事人若发生纠纷，应本着友好协商，维护监管资产利益的原则协商解决；协商不成的，应向</w:t>
      </w:r>
      <w:r>
        <w:rPr>
          <w:rFonts w:hint="eastAsia" w:ascii="楷体" w:hAnsi="楷体" w:eastAsia="楷体"/>
          <w:b/>
          <w:bCs/>
          <w:color w:val="000000"/>
          <w:sz w:val="24"/>
          <w:szCs w:val="24"/>
        </w:rPr>
        <w:t>甲方注册地</w:t>
      </w:r>
      <w:r>
        <w:rPr>
          <w:rFonts w:hint="eastAsia" w:ascii="楷体" w:hAnsi="楷体" w:eastAsia="楷体"/>
          <w:color w:val="000000"/>
          <w:sz w:val="24"/>
          <w:szCs w:val="24"/>
        </w:rPr>
        <w:t>有管辖权的人民法院提起诉讼以解决争议。</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12.3</w:t>
      </w:r>
      <w:r>
        <w:rPr>
          <w:rFonts w:ascii="楷体" w:hAnsi="楷体" w:eastAsia="楷体"/>
          <w:color w:val="000000"/>
          <w:sz w:val="24"/>
          <w:szCs w:val="24"/>
        </w:rPr>
        <w:tab/>
      </w:r>
      <w:r>
        <w:rPr>
          <w:rFonts w:hint="eastAsia" w:ascii="楷体" w:hAnsi="楷体" w:eastAsia="楷体"/>
          <w:color w:val="000000"/>
          <w:sz w:val="24"/>
          <w:szCs w:val="24"/>
        </w:rPr>
        <w:t>在发生任何争议和在任何争议正在进行诉讼时，除了所争议的事宜外，各方应继续完成其各自在本合同项下的义务。</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第十三条：不可抗力</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13.1</w:t>
      </w:r>
      <w:r>
        <w:rPr>
          <w:rFonts w:ascii="楷体" w:hAnsi="楷体" w:eastAsia="楷体"/>
          <w:color w:val="000000"/>
          <w:sz w:val="24"/>
          <w:szCs w:val="24"/>
        </w:rPr>
        <w:tab/>
      </w:r>
      <w:r>
        <w:rPr>
          <w:rFonts w:hint="eastAsia" w:ascii="楷体" w:hAnsi="楷体" w:eastAsia="楷体"/>
          <w:color w:val="000000"/>
          <w:sz w:val="24"/>
          <w:szCs w:val="24"/>
        </w:rPr>
        <w:t>如果一方在履行本合同时直接受到某一不可抗力事实的影响、迟延或阻碍，该方应在不可抗力事件发生后的十天内通知其他方并提供有关的详细信息；</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13.2</w:t>
      </w:r>
      <w:r>
        <w:rPr>
          <w:rFonts w:ascii="楷体" w:hAnsi="楷体" w:eastAsia="楷体"/>
          <w:color w:val="000000"/>
          <w:sz w:val="24"/>
          <w:szCs w:val="24"/>
        </w:rPr>
        <w:tab/>
      </w:r>
      <w:r>
        <w:rPr>
          <w:rFonts w:hint="eastAsia" w:ascii="楷体" w:hAnsi="楷体" w:eastAsia="楷体"/>
          <w:color w:val="000000"/>
          <w:sz w:val="24"/>
          <w:szCs w:val="24"/>
        </w:rPr>
        <w:t>对不可抗力事件造成的未履行或延迟履行义务，任何一方均不承担责任。受不可抗力事件影响的一方须采取适当措施以减少或消除不可抗力的影响，并尽快恢复履行受不可抗力事件影响的义务；</w:t>
      </w:r>
    </w:p>
    <w:p>
      <w:pPr>
        <w:adjustRightInd w:val="0"/>
        <w:snapToGrid w:val="0"/>
        <w:spacing w:after="62" w:afterLines="20" w:line="360" w:lineRule="auto"/>
        <w:ind w:left="648" w:hanging="648" w:hangingChars="270"/>
        <w:rPr>
          <w:rFonts w:ascii="楷体" w:hAnsi="楷体" w:eastAsia="楷体"/>
          <w:color w:val="000000"/>
          <w:sz w:val="24"/>
          <w:szCs w:val="24"/>
        </w:rPr>
      </w:pPr>
      <w:r>
        <w:rPr>
          <w:rFonts w:ascii="楷体" w:hAnsi="楷体" w:eastAsia="楷体"/>
          <w:color w:val="000000"/>
          <w:sz w:val="24"/>
          <w:szCs w:val="24"/>
        </w:rPr>
        <w:t>13.3</w:t>
      </w:r>
      <w:r>
        <w:rPr>
          <w:rFonts w:ascii="楷体" w:hAnsi="楷体" w:eastAsia="楷体"/>
          <w:color w:val="000000"/>
          <w:sz w:val="24"/>
          <w:szCs w:val="24"/>
        </w:rPr>
        <w:tab/>
      </w:r>
      <w:r>
        <w:rPr>
          <w:rFonts w:hint="eastAsia" w:ascii="楷体" w:hAnsi="楷体" w:eastAsia="楷体"/>
          <w:color w:val="000000"/>
          <w:sz w:val="24"/>
          <w:szCs w:val="24"/>
        </w:rPr>
        <w:t>本合同所称不可抗力事件指各方不能预见、不能避免且不能克服的事件，该事件妨碍、影响或延误任何一方根据本合同履行其全部或部分义务。该事件包括但不限于地震、台风、洪水、火灾、重大疫情、其他天灾、战争、政变、骚乱、罢工或其他类似事件等因素。</w:t>
      </w:r>
    </w:p>
    <w:p>
      <w:pPr>
        <w:adjustRightInd w:val="0"/>
        <w:snapToGrid w:val="0"/>
        <w:spacing w:after="62" w:afterLines="20" w:line="360" w:lineRule="auto"/>
        <w:rPr>
          <w:rFonts w:ascii="楷体" w:hAnsi="楷体" w:eastAsia="楷体"/>
          <w:color w:val="000000"/>
          <w:sz w:val="24"/>
          <w:szCs w:val="24"/>
        </w:rPr>
      </w:pPr>
    </w:p>
    <w:p>
      <w:pPr>
        <w:adjustRightInd w:val="0"/>
        <w:snapToGrid w:val="0"/>
        <w:spacing w:after="62" w:afterLines="20" w:line="360" w:lineRule="auto"/>
        <w:outlineLvl w:val="0"/>
        <w:rPr>
          <w:rFonts w:ascii="楷体" w:hAnsi="楷体" w:eastAsia="楷体"/>
          <w:b/>
          <w:color w:val="000000"/>
          <w:sz w:val="24"/>
          <w:szCs w:val="24"/>
        </w:rPr>
      </w:pPr>
      <w:r>
        <w:rPr>
          <w:rFonts w:hint="eastAsia" w:ascii="楷体" w:hAnsi="楷体" w:eastAsia="楷体"/>
          <w:b/>
          <w:color w:val="000000"/>
          <w:sz w:val="24"/>
          <w:szCs w:val="24"/>
        </w:rPr>
        <w:t>第十四条：文本及效力</w:t>
      </w:r>
    </w:p>
    <w:p>
      <w:pPr>
        <w:adjustRightInd w:val="0"/>
        <w:snapToGrid w:val="0"/>
        <w:spacing w:after="62" w:afterLines="20" w:line="360" w:lineRule="auto"/>
        <w:rPr>
          <w:rFonts w:ascii="楷体" w:hAnsi="楷体" w:eastAsia="楷体"/>
          <w:color w:val="000000"/>
          <w:sz w:val="24"/>
          <w:szCs w:val="24"/>
        </w:rPr>
      </w:pPr>
      <w:r>
        <w:rPr>
          <w:rFonts w:hint="eastAsia" w:ascii="楷体" w:hAnsi="楷体" w:eastAsia="楷体"/>
          <w:color w:val="000000"/>
          <w:sz w:val="24"/>
          <w:szCs w:val="24"/>
        </w:rPr>
        <w:t>合同正本一式【肆】份，各方各执【壹】份，具同等法律效力。</w:t>
      </w:r>
    </w:p>
    <w:p>
      <w:pPr>
        <w:adjustRightInd w:val="0"/>
        <w:snapToGrid w:val="0"/>
        <w:spacing w:after="62" w:afterLines="20" w:line="360" w:lineRule="auto"/>
        <w:rPr>
          <w:rFonts w:ascii="楷体" w:hAnsi="楷体" w:eastAsia="楷体"/>
          <w:color w:val="000000"/>
          <w:szCs w:val="21"/>
        </w:rPr>
      </w:pPr>
      <w:r>
        <w:rPr>
          <w:rFonts w:hint="eastAsia" w:ascii="楷体" w:hAnsi="楷体" w:eastAsia="楷体"/>
          <w:color w:val="000000"/>
          <w:sz w:val="24"/>
          <w:szCs w:val="24"/>
        </w:rPr>
        <w:t>（以下无正文）</w:t>
      </w:r>
      <w:r>
        <w:rPr>
          <w:rFonts w:ascii="楷体" w:hAnsi="楷体" w:eastAsia="楷体"/>
          <w:color w:val="000000"/>
          <w:szCs w:val="21"/>
        </w:rPr>
        <w:br w:type="page"/>
      </w:r>
      <w:r>
        <w:rPr>
          <w:rFonts w:hint="eastAsia" w:ascii="楷体" w:hAnsi="楷体" w:eastAsia="楷体"/>
          <w:color w:val="000000"/>
          <w:szCs w:val="21"/>
        </w:rPr>
        <w:t>（本页无正文，为编号为【</w:t>
      </w:r>
      <w:r>
        <w:rPr>
          <w:rFonts w:ascii="楷体" w:hAnsi="楷体" w:eastAsia="楷体"/>
          <w:color w:val="000000"/>
          <w:szCs w:val="21"/>
        </w:rPr>
        <w:t>P2020M12A-</w:t>
      </w:r>
      <w:r>
        <w:rPr>
          <w:rFonts w:hint="eastAsia" w:ascii="楷体" w:hAnsi="楷体" w:eastAsia="楷体"/>
          <w:color w:val="000000"/>
          <w:szCs w:val="21"/>
        </w:rPr>
        <w:t>PT07</w:t>
      </w:r>
      <w:r>
        <w:rPr>
          <w:rFonts w:ascii="楷体" w:hAnsi="楷体" w:eastAsia="楷体"/>
          <w:color w:val="000000"/>
          <w:szCs w:val="21"/>
        </w:rPr>
        <w:t>-003-05</w:t>
      </w:r>
      <w:r>
        <w:rPr>
          <w:rFonts w:hint="eastAsia" w:ascii="楷体" w:hAnsi="楷体" w:eastAsia="楷体"/>
          <w:color w:val="000000"/>
          <w:szCs w:val="21"/>
        </w:rPr>
        <w:t>】的《项目委托监管合同》的签署页）</w:t>
      </w:r>
    </w:p>
    <w:p>
      <w:pPr>
        <w:spacing w:after="62" w:afterLines="20" w:line="360" w:lineRule="auto"/>
        <w:rPr>
          <w:rFonts w:ascii="楷体" w:hAnsi="楷体" w:eastAsia="楷体"/>
          <w:color w:val="000000"/>
          <w:szCs w:val="21"/>
          <w:u w:val="double"/>
        </w:rPr>
      </w:pPr>
      <w:bookmarkStart w:id="3" w:name="_DV_C137"/>
      <w:bookmarkStart w:id="4" w:name="_Hlk60158540"/>
    </w:p>
    <w:p>
      <w:pPr>
        <w:spacing w:after="62" w:afterLines="20" w:line="360" w:lineRule="auto"/>
        <w:rPr>
          <w:rFonts w:ascii="楷体" w:hAnsi="楷体" w:eastAsia="楷体"/>
          <w:color w:val="000000"/>
          <w:szCs w:val="21"/>
        </w:rPr>
      </w:pPr>
      <w:r>
        <w:rPr>
          <w:rFonts w:ascii="楷体" w:hAnsi="楷体" w:eastAsia="楷体"/>
          <w:color w:val="000000"/>
          <w:szCs w:val="21"/>
          <w:u w:val="double"/>
        </w:rPr>
        <w:t>[</w:t>
      </w:r>
      <w:bookmarkEnd w:id="3"/>
      <w:bookmarkStart w:id="5" w:name="_DV_M283"/>
      <w:bookmarkEnd w:id="5"/>
      <w:r>
        <w:rPr>
          <w:rFonts w:ascii="楷体" w:hAnsi="楷体" w:eastAsia="楷体"/>
          <w:b/>
          <w:color w:val="000000"/>
          <w:szCs w:val="21"/>
        </w:rPr>
        <w:t>本合同一经签署即表明：</w:t>
      </w:r>
      <w:r>
        <w:rPr>
          <w:rFonts w:hint="eastAsia" w:ascii="楷体" w:hAnsi="楷体" w:eastAsia="楷体"/>
          <w:b/>
          <w:color w:val="000000"/>
          <w:szCs w:val="21"/>
        </w:rPr>
        <w:t>各</w:t>
      </w:r>
      <w:r>
        <w:rPr>
          <w:rFonts w:ascii="楷体" w:hAnsi="楷体" w:eastAsia="楷体"/>
          <w:b/>
          <w:color w:val="000000"/>
          <w:szCs w:val="21"/>
        </w:rPr>
        <w:t>方已经完整、细致地阅读了本合同，</w:t>
      </w:r>
      <w:bookmarkStart w:id="6" w:name="_DV_C138"/>
      <w:r>
        <w:rPr>
          <w:rFonts w:hint="eastAsia" w:ascii="楷体" w:hAnsi="楷体" w:eastAsia="楷体"/>
          <w:b/>
          <w:color w:val="000000"/>
          <w:szCs w:val="21"/>
          <w:u w:val="double"/>
        </w:rPr>
        <w:t>并已特别注意字体加黑加粗的内容，</w:t>
      </w:r>
      <w:bookmarkEnd w:id="6"/>
      <w:bookmarkStart w:id="7" w:name="_DV_M284"/>
      <w:bookmarkEnd w:id="7"/>
      <w:r>
        <w:rPr>
          <w:rFonts w:ascii="楷体" w:hAnsi="楷体" w:eastAsia="楷体"/>
          <w:b/>
          <w:color w:val="000000"/>
          <w:szCs w:val="21"/>
        </w:rPr>
        <w:t>对合同所有条款不存在任何疑义和歧义，并对</w:t>
      </w:r>
      <w:r>
        <w:rPr>
          <w:rFonts w:hint="eastAsia" w:ascii="楷体" w:hAnsi="楷体" w:eastAsia="楷体"/>
          <w:b/>
          <w:color w:val="000000"/>
          <w:szCs w:val="21"/>
        </w:rPr>
        <w:t>各</w:t>
      </w:r>
      <w:r>
        <w:rPr>
          <w:rFonts w:ascii="楷体" w:hAnsi="楷体" w:eastAsia="楷体"/>
          <w:b/>
          <w:color w:val="000000"/>
          <w:szCs w:val="21"/>
        </w:rPr>
        <w:t>方有关权利、义务和责任有准确无误地理解。</w:t>
      </w:r>
      <w:bookmarkStart w:id="8" w:name="_DV_C139"/>
      <w:r>
        <w:rPr>
          <w:rFonts w:hint="eastAsia" w:ascii="楷体" w:hAnsi="楷体" w:eastAsia="楷体"/>
          <w:b/>
          <w:color w:val="000000"/>
          <w:szCs w:val="21"/>
          <w:u w:val="double"/>
        </w:rPr>
        <w:t>在签署本合同时，甲方已应其他各方要求就本合同做了相应的条款说明。各当事人对本合同的所有条款的含义及相应的法律后果已经全部通晓并充分理解。其他各方不得以甲方未履行提示和说明义务导致重大误解、显失公平等任何理由对本合同任何条款提出异议。</w:t>
      </w:r>
      <w:r>
        <w:rPr>
          <w:rFonts w:ascii="楷体" w:hAnsi="楷体" w:eastAsia="楷体"/>
          <w:color w:val="000000"/>
          <w:szCs w:val="21"/>
          <w:u w:val="double"/>
        </w:rPr>
        <w:t>]</w:t>
      </w:r>
      <w:bookmarkEnd w:id="4"/>
      <w:bookmarkEnd w:id="8"/>
    </w:p>
    <w:p>
      <w:pPr>
        <w:spacing w:after="62" w:afterLines="20" w:line="360" w:lineRule="auto"/>
        <w:rPr>
          <w:rFonts w:ascii="楷体" w:hAnsi="楷体" w:eastAsia="楷体"/>
          <w:color w:val="000000"/>
          <w:szCs w:val="21"/>
        </w:rPr>
      </w:pPr>
    </w:p>
    <w:p>
      <w:pPr>
        <w:spacing w:after="62" w:afterLines="20" w:line="360" w:lineRule="auto"/>
        <w:rPr>
          <w:rFonts w:ascii="楷体" w:hAnsi="楷体" w:eastAsia="楷体"/>
          <w:color w:val="000000"/>
          <w:szCs w:val="21"/>
        </w:rPr>
      </w:pPr>
    </w:p>
    <w:p>
      <w:pPr>
        <w:spacing w:after="62" w:afterLines="20" w:line="360" w:lineRule="auto"/>
        <w:outlineLvl w:val="0"/>
        <w:rPr>
          <w:rFonts w:ascii="楷体" w:hAnsi="楷体" w:eastAsia="楷体"/>
          <w:b/>
          <w:color w:val="000000"/>
          <w:szCs w:val="21"/>
        </w:rPr>
      </w:pPr>
      <w:r>
        <w:rPr>
          <w:rFonts w:hint="eastAsia" w:ascii="楷体" w:hAnsi="楷体" w:eastAsia="楷体"/>
          <w:b/>
          <w:color w:val="000000"/>
          <w:szCs w:val="21"/>
        </w:rPr>
        <w:t>甲方（盖章）：五矿国际信托有限公司</w:t>
      </w:r>
    </w:p>
    <w:p>
      <w:pPr>
        <w:spacing w:after="62" w:afterLines="20" w:line="360" w:lineRule="auto"/>
        <w:rPr>
          <w:rFonts w:ascii="楷体" w:hAnsi="楷体" w:eastAsia="楷体"/>
          <w:color w:val="000000"/>
          <w:szCs w:val="21"/>
        </w:rPr>
      </w:pPr>
      <w:r>
        <w:rPr>
          <w:rFonts w:hint="eastAsia" w:ascii="楷体" w:hAnsi="楷体" w:eastAsia="楷体"/>
          <w:color w:val="000000"/>
          <w:szCs w:val="21"/>
        </w:rPr>
        <w:t>法定代表人或授权代理人（签名或签章）：</w:t>
      </w:r>
    </w:p>
    <w:p>
      <w:pPr>
        <w:spacing w:after="62" w:afterLines="20" w:line="360" w:lineRule="auto"/>
        <w:rPr>
          <w:rFonts w:ascii="楷体" w:hAnsi="楷体" w:eastAsia="楷体"/>
          <w:color w:val="000000"/>
          <w:szCs w:val="21"/>
        </w:rPr>
      </w:pPr>
    </w:p>
    <w:p>
      <w:pPr>
        <w:spacing w:after="62" w:afterLines="20" w:line="360" w:lineRule="auto"/>
        <w:rPr>
          <w:rFonts w:ascii="楷体" w:hAnsi="楷体" w:eastAsia="楷体"/>
          <w:color w:val="000000"/>
          <w:szCs w:val="21"/>
        </w:rPr>
      </w:pPr>
    </w:p>
    <w:p>
      <w:pPr>
        <w:spacing w:after="62" w:afterLines="20" w:line="360" w:lineRule="auto"/>
        <w:outlineLvl w:val="0"/>
        <w:rPr>
          <w:rFonts w:ascii="楷体" w:hAnsi="楷体" w:eastAsia="楷体"/>
          <w:b/>
          <w:color w:val="000000"/>
          <w:szCs w:val="21"/>
        </w:rPr>
      </w:pPr>
      <w:r>
        <w:rPr>
          <w:rFonts w:hint="eastAsia" w:ascii="楷体" w:hAnsi="楷体" w:eastAsia="楷体"/>
          <w:b/>
          <w:color w:val="000000"/>
          <w:szCs w:val="21"/>
        </w:rPr>
        <w:t>乙</w:t>
      </w:r>
      <w:r>
        <w:rPr>
          <w:rFonts w:hint="eastAsia" w:ascii="楷体" w:hAnsi="楷体" w:eastAsia="楷体"/>
          <w:b/>
          <w:color w:val="000000"/>
          <w:szCs w:val="21"/>
          <w:lang w:eastAsia="zh-Hans"/>
        </w:rPr>
        <w:t>方</w:t>
      </w:r>
      <w:r>
        <w:rPr>
          <w:rFonts w:hint="eastAsia" w:ascii="楷体" w:hAnsi="楷体" w:eastAsia="楷体"/>
          <w:b/>
          <w:color w:val="000000"/>
          <w:szCs w:val="21"/>
        </w:rPr>
        <w:t>（盖章）：</w:t>
      </w:r>
      <w:r>
        <w:rPr>
          <w:rFonts w:ascii="楷体" w:hAnsi="楷体" w:eastAsia="楷体"/>
          <w:b/>
          <w:color w:val="000000"/>
          <w:szCs w:val="21"/>
        </w:rPr>
        <w:t>杭州钊光置业有限公司</w:t>
      </w:r>
    </w:p>
    <w:p>
      <w:pPr>
        <w:spacing w:after="62" w:afterLines="20" w:line="360" w:lineRule="auto"/>
        <w:rPr>
          <w:rFonts w:ascii="楷体" w:hAnsi="楷体" w:eastAsia="楷体"/>
          <w:color w:val="000000"/>
          <w:szCs w:val="21"/>
        </w:rPr>
      </w:pPr>
      <w:r>
        <w:rPr>
          <w:rFonts w:hint="eastAsia" w:ascii="楷体" w:hAnsi="楷体" w:eastAsia="楷体"/>
          <w:color w:val="000000"/>
          <w:szCs w:val="21"/>
        </w:rPr>
        <w:t>法定代表人或授权代理人（签名或签章）：</w:t>
      </w:r>
    </w:p>
    <w:p>
      <w:pPr>
        <w:spacing w:after="62" w:afterLines="20" w:line="360" w:lineRule="auto"/>
        <w:rPr>
          <w:rFonts w:ascii="楷体" w:hAnsi="楷体" w:eastAsia="楷体"/>
          <w:color w:val="000000"/>
          <w:szCs w:val="21"/>
        </w:rPr>
      </w:pPr>
    </w:p>
    <w:p>
      <w:pPr>
        <w:spacing w:after="62" w:afterLines="20" w:line="360" w:lineRule="auto"/>
        <w:rPr>
          <w:rFonts w:ascii="楷体" w:hAnsi="楷体" w:eastAsia="楷体"/>
          <w:color w:val="000000"/>
          <w:szCs w:val="21"/>
        </w:rPr>
      </w:pPr>
    </w:p>
    <w:p>
      <w:pPr>
        <w:spacing w:after="62" w:afterLines="20" w:line="360" w:lineRule="auto"/>
        <w:outlineLvl w:val="0"/>
        <w:rPr>
          <w:rFonts w:ascii="楷体" w:hAnsi="楷体" w:eastAsia="楷体"/>
          <w:b/>
          <w:color w:val="000000"/>
          <w:szCs w:val="21"/>
        </w:rPr>
      </w:pPr>
      <w:r>
        <w:rPr>
          <w:rFonts w:hint="eastAsia" w:ascii="楷体" w:hAnsi="楷体" w:eastAsia="楷体"/>
          <w:b/>
          <w:color w:val="000000"/>
          <w:szCs w:val="21"/>
        </w:rPr>
        <w:t>丙方（盖章）：杭州橙光置业有限责任公司</w:t>
      </w:r>
    </w:p>
    <w:p>
      <w:pPr>
        <w:spacing w:after="62" w:afterLines="20" w:line="360" w:lineRule="auto"/>
        <w:rPr>
          <w:rFonts w:ascii="楷体" w:hAnsi="楷体" w:eastAsia="楷体"/>
          <w:color w:val="000000"/>
          <w:szCs w:val="21"/>
        </w:rPr>
      </w:pPr>
      <w:r>
        <w:rPr>
          <w:rFonts w:hint="eastAsia" w:ascii="楷体" w:hAnsi="楷体" w:eastAsia="楷体"/>
          <w:color w:val="000000"/>
          <w:szCs w:val="21"/>
        </w:rPr>
        <w:t>法定代表人或授权代理人（签名或签章）：</w:t>
      </w:r>
    </w:p>
    <w:p>
      <w:pPr>
        <w:spacing w:after="62" w:afterLines="20" w:line="360" w:lineRule="auto"/>
        <w:rPr>
          <w:rFonts w:ascii="楷体" w:hAnsi="楷体" w:eastAsia="楷体"/>
          <w:color w:val="000000"/>
          <w:szCs w:val="21"/>
        </w:rPr>
      </w:pPr>
    </w:p>
    <w:p>
      <w:pPr>
        <w:spacing w:after="62" w:afterLines="20" w:line="360" w:lineRule="auto"/>
        <w:rPr>
          <w:rFonts w:ascii="楷体" w:hAnsi="楷体" w:eastAsia="楷体"/>
          <w:color w:val="000000"/>
          <w:szCs w:val="21"/>
        </w:rPr>
      </w:pPr>
    </w:p>
    <w:p>
      <w:pPr>
        <w:spacing w:after="62" w:afterLines="20" w:line="360" w:lineRule="auto"/>
        <w:outlineLvl w:val="0"/>
        <w:rPr>
          <w:rFonts w:ascii="楷体" w:hAnsi="楷体" w:eastAsia="楷体"/>
          <w:b/>
          <w:color w:val="000000"/>
          <w:szCs w:val="21"/>
        </w:rPr>
      </w:pPr>
      <w:r>
        <w:rPr>
          <w:rFonts w:hint="eastAsia" w:ascii="楷体" w:hAnsi="楷体" w:eastAsia="楷体"/>
          <w:b/>
          <w:color w:val="000000"/>
          <w:szCs w:val="21"/>
        </w:rPr>
        <w:t>丁方（盖章）：北京康正宏基房地产评估有限公司</w:t>
      </w:r>
    </w:p>
    <w:p>
      <w:pPr>
        <w:spacing w:after="62" w:afterLines="20" w:line="360" w:lineRule="auto"/>
        <w:rPr>
          <w:rFonts w:ascii="楷体" w:hAnsi="楷体" w:eastAsia="楷体"/>
          <w:color w:val="000000"/>
          <w:szCs w:val="21"/>
        </w:rPr>
      </w:pPr>
      <w:r>
        <w:rPr>
          <w:rFonts w:hint="eastAsia" w:ascii="楷体" w:hAnsi="楷体" w:eastAsia="楷体"/>
          <w:color w:val="000000"/>
          <w:szCs w:val="21"/>
        </w:rPr>
        <w:t>法定代表人或授权代理人（签名或签章）：</w:t>
      </w:r>
    </w:p>
    <w:p>
      <w:pPr>
        <w:spacing w:after="62" w:afterLines="20" w:line="360" w:lineRule="auto"/>
        <w:rPr>
          <w:rFonts w:ascii="楷体" w:hAnsi="楷体" w:eastAsia="楷体"/>
          <w:color w:val="000000"/>
          <w:szCs w:val="21"/>
        </w:rPr>
      </w:pPr>
    </w:p>
    <w:p>
      <w:pPr>
        <w:spacing w:after="62" w:afterLines="20" w:line="360" w:lineRule="auto"/>
        <w:rPr>
          <w:rFonts w:ascii="楷体" w:hAnsi="楷体" w:eastAsia="楷体"/>
          <w:color w:val="000000"/>
          <w:szCs w:val="21"/>
        </w:rPr>
      </w:pPr>
      <w:r>
        <w:rPr>
          <w:rFonts w:hint="eastAsia" w:ascii="楷体" w:hAnsi="楷体" w:eastAsia="楷体"/>
          <w:color w:val="000000"/>
          <w:szCs w:val="21"/>
        </w:rPr>
        <w:t>签约时间：【2021】年【5】月【</w:t>
      </w:r>
      <w:r>
        <w:rPr>
          <w:rFonts w:ascii="楷体" w:hAnsi="楷体" w:eastAsia="楷体"/>
          <w:color w:val="000000"/>
          <w:szCs w:val="21"/>
        </w:rPr>
        <w:t xml:space="preserve">  </w:t>
      </w:r>
      <w:r>
        <w:rPr>
          <w:rFonts w:hint="eastAsia" w:ascii="楷体" w:hAnsi="楷体" w:eastAsia="楷体"/>
          <w:color w:val="000000"/>
          <w:szCs w:val="21"/>
        </w:rPr>
        <w:t>】日</w:t>
      </w:r>
    </w:p>
    <w:p>
      <w:pPr>
        <w:spacing w:after="62" w:afterLines="20" w:line="360" w:lineRule="auto"/>
        <w:rPr>
          <w:rFonts w:ascii="楷体" w:hAnsi="楷体" w:eastAsia="楷体"/>
          <w:b/>
          <w:color w:val="000000"/>
          <w:szCs w:val="21"/>
        </w:rPr>
      </w:pPr>
      <w:r>
        <w:rPr>
          <w:rFonts w:hint="eastAsia" w:ascii="楷体" w:hAnsi="楷体" w:eastAsia="楷体"/>
          <w:color w:val="000000"/>
          <w:szCs w:val="21"/>
        </w:rPr>
        <w:t>签署地点：北京</w:t>
      </w:r>
      <w:r>
        <w:rPr>
          <w:rFonts w:ascii="楷体" w:hAnsi="楷体" w:eastAsia="楷体"/>
          <w:color w:val="000000"/>
          <w:szCs w:val="21"/>
        </w:rPr>
        <w:br w:type="page"/>
      </w:r>
      <w:r>
        <w:rPr>
          <w:rFonts w:hint="eastAsia" w:ascii="楷体" w:hAnsi="楷体" w:eastAsia="楷体"/>
          <w:b/>
          <w:color w:val="000000"/>
          <w:szCs w:val="21"/>
        </w:rPr>
        <w:t>附件一《项目监管方案》</w:t>
      </w:r>
    </w:p>
    <w:p>
      <w:pPr>
        <w:pStyle w:val="11"/>
        <w:spacing w:line="360" w:lineRule="auto"/>
        <w:rPr>
          <w:rFonts w:ascii="仿宋_GB2312" w:hAnsi="宋体" w:eastAsia="仿宋_GB2312"/>
          <w:bCs w:val="0"/>
        </w:rPr>
      </w:pPr>
      <w:r>
        <w:rPr>
          <w:rFonts w:hint="eastAsia" w:ascii="仿宋_GB2312" w:hAnsi="宋体" w:eastAsia="仿宋_GB2312"/>
          <w:bCs w:val="0"/>
        </w:rPr>
        <w:t>关于“五矿信托</w:t>
      </w:r>
      <w:r>
        <w:rPr>
          <w:rFonts w:ascii="仿宋_GB2312" w:hAnsi="宋体" w:eastAsia="仿宋_GB2312"/>
          <w:bCs w:val="0"/>
        </w:rPr>
        <w:t>-恒信共筑216号-桂冠投资10号集合资金信托计划第Ⅱ期</w:t>
      </w:r>
      <w:r>
        <w:rPr>
          <w:rFonts w:hint="eastAsia" w:ascii="仿宋_GB2312" w:hAnsi="宋体" w:eastAsia="仿宋_GB2312"/>
          <w:bCs w:val="0"/>
        </w:rPr>
        <w:t>信托单位”项下</w:t>
      </w:r>
    </w:p>
    <w:p>
      <w:pPr>
        <w:pStyle w:val="11"/>
        <w:spacing w:line="360" w:lineRule="auto"/>
        <w:rPr>
          <w:rFonts w:ascii="仿宋_GB2312" w:hAnsi="宋体" w:eastAsia="仿宋_GB2312"/>
          <w:bCs w:val="0"/>
        </w:rPr>
      </w:pPr>
      <w:r>
        <w:rPr>
          <w:rFonts w:hint="eastAsia" w:ascii="仿宋_GB2312" w:hAnsi="宋体" w:eastAsia="仿宋_GB2312"/>
          <w:bCs w:val="0"/>
        </w:rPr>
        <w:t>杭州钊光置业有限公司的项目监管方案</w:t>
      </w:r>
    </w:p>
    <w:p>
      <w:pPr>
        <w:spacing w:line="360" w:lineRule="auto"/>
        <w:ind w:left="140" w:firstLine="480" w:firstLineChars="200"/>
        <w:rPr>
          <w:rFonts w:ascii="仿宋_GB2312" w:eastAsia="仿宋_GB2312"/>
          <w:sz w:val="24"/>
          <w:szCs w:val="24"/>
        </w:rPr>
      </w:pPr>
    </w:p>
    <w:p>
      <w:pPr>
        <w:pStyle w:val="5"/>
        <w:spacing w:line="360" w:lineRule="auto"/>
        <w:ind w:left="142" w:right="386" w:firstLine="480" w:firstLineChars="200"/>
        <w:jc w:val="both"/>
        <w:rPr>
          <w:rFonts w:ascii="仿宋_GB2312" w:eastAsia="仿宋_GB2312"/>
        </w:rPr>
      </w:pPr>
      <w:r>
        <w:rPr>
          <w:rFonts w:hint="eastAsia" w:ascii="仿宋_GB2312" w:eastAsia="仿宋_GB2312"/>
        </w:rPr>
        <w:t>针对“五矿信托</w:t>
      </w:r>
      <w:r>
        <w:rPr>
          <w:rFonts w:ascii="仿宋_GB2312" w:eastAsia="仿宋_GB2312"/>
        </w:rPr>
        <w:t>-恒信共筑216号-桂冠投资10号集合资金信托计划第Ⅱ期</w:t>
      </w:r>
      <w:r>
        <w:rPr>
          <w:rFonts w:hint="eastAsia" w:ascii="仿宋_GB2312" w:eastAsia="仿宋_GB2312"/>
        </w:rPr>
        <w:t>信托单位”（以下简称“本信托计划”或“信托计划”）项下交易主体杭州钊光置业有限公司（以下简称“被监管主体”），拟定监管服务如下：</w:t>
      </w:r>
    </w:p>
    <w:p>
      <w:pPr>
        <w:widowControl/>
        <w:spacing w:line="360" w:lineRule="auto"/>
        <w:ind w:firstLine="482" w:firstLineChars="200"/>
        <w:outlineLvl w:val="0"/>
        <w:rPr>
          <w:rFonts w:ascii="仿宋_GB2312" w:eastAsia="仿宋_GB2312"/>
          <w:b/>
          <w:sz w:val="24"/>
          <w:szCs w:val="24"/>
        </w:rPr>
      </w:pPr>
      <w:r>
        <w:rPr>
          <w:rFonts w:hint="eastAsia" w:ascii="仿宋_GB2312" w:eastAsia="仿宋_GB2312"/>
          <w:b/>
          <w:sz w:val="24"/>
          <w:szCs w:val="24"/>
        </w:rPr>
        <w:t>一、项目进场交接</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在五矿国际信托有限公司（以下简称“五矿信托”）项目组及/或运营管理总部的见证下，由</w:t>
      </w:r>
      <w:r>
        <w:rPr>
          <w:rFonts w:ascii="仿宋_GB2312" w:eastAsia="仿宋_GB2312"/>
          <w:sz w:val="24"/>
          <w:szCs w:val="24"/>
        </w:rPr>
        <w:t>北京康正宏基房地产评估有限公司（以下简称“监管公司”</w:t>
      </w:r>
      <w:r>
        <w:rPr>
          <w:rFonts w:hint="eastAsia" w:ascii="仿宋_GB2312" w:eastAsia="仿宋_GB2312"/>
          <w:sz w:val="24"/>
          <w:szCs w:val="24"/>
        </w:rPr>
        <w:t>或“第三方监管机构”</w:t>
      </w:r>
      <w:r>
        <w:rPr>
          <w:rFonts w:ascii="仿宋_GB2312" w:eastAsia="仿宋_GB2312"/>
          <w:sz w:val="24"/>
          <w:szCs w:val="24"/>
        </w:rPr>
        <w:t>）</w:t>
      </w:r>
      <w:r>
        <w:rPr>
          <w:rFonts w:hint="eastAsia" w:ascii="仿宋_GB2312" w:eastAsia="仿宋_GB2312"/>
          <w:sz w:val="24"/>
          <w:szCs w:val="24"/>
        </w:rPr>
        <w:t>委派现场监管人员与被监管主体人员履行进场交接手续，交接被监管主体的所有需纳入监管的相关印鉴、证照、银行账户网银等，具体包括但不限于如下：</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1.被监管主体所有公章、合同章、财务章、法人章、发票章、营销章、电子印章（如有）等印鉴（监管期限内后续新增的印鉴需及时沟通是否纳入监管范围）；</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2.被监管主体所有营业执照、暂定资质证书、组织机构代码证（如有）、开户许可证（如有）、不动产权证书、建设用地规划许可证、建设工程规划许可证、建筑工程施工许可证、预售许可证等；</w:t>
      </w:r>
    </w:p>
    <w:p>
      <w:pPr>
        <w:widowControl/>
        <w:spacing w:line="360" w:lineRule="auto"/>
        <w:ind w:firstLine="480" w:firstLineChars="200"/>
        <w:rPr>
          <w:rFonts w:ascii="仿宋_GB2312" w:eastAsia="仿宋_GB2312" w:cs="宋体"/>
          <w:sz w:val="24"/>
          <w:szCs w:val="24"/>
        </w:rPr>
      </w:pPr>
      <w:r>
        <w:rPr>
          <w:rFonts w:hint="eastAsia" w:ascii="仿宋_GB2312" w:eastAsia="仿宋_GB2312"/>
          <w:sz w:val="24"/>
          <w:szCs w:val="24"/>
        </w:rPr>
        <w:t>3.被监管主体所有银行账户、最高权限复核网银U-key、支付密码器、密匙、支票、汇票、预</w:t>
      </w:r>
      <w:r>
        <w:rPr>
          <w:rFonts w:hint="eastAsia" w:ascii="仿宋_GB2312" w:eastAsia="仿宋_GB2312" w:cs="宋体"/>
          <w:sz w:val="24"/>
          <w:szCs w:val="24"/>
        </w:rPr>
        <w:t>留印鉴、印鉴卡、单位结算卡（如有）等；</w:t>
      </w:r>
    </w:p>
    <w:p>
      <w:pPr>
        <w:widowControl/>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4.</w:t>
      </w:r>
      <w:r>
        <w:rPr>
          <w:rFonts w:hint="eastAsia" w:ascii="仿宋_GB2312" w:eastAsia="仿宋_GB2312"/>
          <w:sz w:val="24"/>
          <w:szCs w:val="24"/>
        </w:rPr>
        <w:t>被监管主体</w:t>
      </w:r>
      <w:r>
        <w:rPr>
          <w:rFonts w:hint="eastAsia" w:ascii="仿宋_GB2312" w:eastAsia="仿宋_GB2312" w:cs="宋体"/>
          <w:sz w:val="24"/>
          <w:szCs w:val="24"/>
        </w:rPr>
        <w:t>已签订的合同台账（台账内容包括但不限于合同编号、合同名称、签约方、合同内容、支付节点、合同总额、已支付情况等信息）及已签订合同文本（纸质版、电子版或扫描件）等；</w:t>
      </w:r>
    </w:p>
    <w:p>
      <w:pPr>
        <w:widowControl/>
        <w:spacing w:line="360" w:lineRule="auto"/>
        <w:ind w:firstLine="480" w:firstLineChars="200"/>
        <w:rPr>
          <w:rFonts w:ascii="仿宋_GB2312" w:eastAsia="仿宋_GB2312"/>
          <w:sz w:val="24"/>
          <w:szCs w:val="24"/>
        </w:rPr>
      </w:pPr>
      <w:r>
        <w:rPr>
          <w:rFonts w:hint="eastAsia" w:ascii="仿宋_GB2312" w:eastAsia="仿宋_GB2312" w:cs="宋体"/>
          <w:sz w:val="24"/>
          <w:szCs w:val="24"/>
        </w:rPr>
        <w:t>第三方监管机构现场监管人员在中国人民银行账户管理系统对</w:t>
      </w:r>
      <w:r>
        <w:rPr>
          <w:rFonts w:hint="eastAsia" w:ascii="仿宋_GB2312" w:eastAsia="仿宋_GB2312"/>
          <w:sz w:val="24"/>
          <w:szCs w:val="24"/>
        </w:rPr>
        <w:t>被监管主体</w:t>
      </w:r>
      <w:r>
        <w:rPr>
          <w:rFonts w:hint="eastAsia" w:ascii="仿宋_GB2312" w:eastAsia="仿宋_GB2312" w:cs="宋体"/>
          <w:sz w:val="24"/>
          <w:szCs w:val="24"/>
        </w:rPr>
        <w:t>对所有账户进行查询，以确保移交所有账户、没有遗漏。</w:t>
      </w:r>
    </w:p>
    <w:p>
      <w:pPr>
        <w:widowControl/>
        <w:spacing w:line="360" w:lineRule="auto"/>
        <w:ind w:firstLine="482" w:firstLineChars="200"/>
        <w:outlineLvl w:val="0"/>
        <w:rPr>
          <w:rFonts w:ascii="仿宋_GB2312" w:eastAsia="仿宋_GB2312"/>
          <w:sz w:val="24"/>
          <w:szCs w:val="24"/>
        </w:rPr>
      </w:pPr>
      <w:r>
        <w:rPr>
          <w:rFonts w:hint="eastAsia" w:ascii="仿宋_GB2312" w:eastAsia="仿宋_GB2312"/>
          <w:b/>
          <w:sz w:val="24"/>
          <w:szCs w:val="24"/>
        </w:rPr>
        <w:t>二、项目监管措施</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第三方监管机构根据项目情况及五矿信托需求委派具有财务、工程管理等经验的</w:t>
      </w:r>
      <w:r>
        <w:rPr>
          <w:rFonts w:hint="eastAsia" w:ascii="仿宋_GB2312" w:eastAsia="仿宋_GB2312" w:cs="宋体"/>
          <w:sz w:val="24"/>
          <w:szCs w:val="24"/>
        </w:rPr>
        <w:t>现场监管</w:t>
      </w:r>
      <w:r>
        <w:rPr>
          <w:rFonts w:hint="eastAsia" w:ascii="仿宋_GB2312" w:eastAsia="仿宋_GB2312"/>
          <w:sz w:val="24"/>
          <w:szCs w:val="24"/>
        </w:rPr>
        <w:t>人员，根据编号为【</w:t>
      </w:r>
      <w:r>
        <w:rPr>
          <w:rFonts w:ascii="仿宋_GB2312" w:hAnsi="仿宋" w:eastAsia="仿宋_GB2312"/>
          <w:sz w:val="24"/>
          <w:szCs w:val="24"/>
        </w:rPr>
        <w:t>P2020M12A-</w:t>
      </w:r>
      <w:r>
        <w:rPr>
          <w:rFonts w:hint="eastAsia" w:ascii="仿宋_GB2312" w:hAnsi="仿宋" w:eastAsia="仿宋_GB2312"/>
          <w:sz w:val="24"/>
          <w:szCs w:val="24"/>
        </w:rPr>
        <w:t>PT07</w:t>
      </w:r>
      <w:r>
        <w:rPr>
          <w:rFonts w:ascii="仿宋_GB2312" w:hAnsi="仿宋" w:eastAsia="仿宋_GB2312"/>
          <w:sz w:val="24"/>
          <w:szCs w:val="24"/>
        </w:rPr>
        <w:t>-003-05</w:t>
      </w:r>
      <w:r>
        <w:rPr>
          <w:rFonts w:hint="eastAsia" w:ascii="仿宋_GB2312" w:eastAsia="仿宋_GB2312"/>
          <w:sz w:val="24"/>
          <w:szCs w:val="24"/>
        </w:rPr>
        <w:t>】的</w:t>
      </w:r>
      <w:r>
        <w:rPr>
          <w:rFonts w:hint="eastAsia" w:ascii="仿宋_GB2312" w:eastAsia="仿宋_GB2312" w:cs="仿宋"/>
          <w:sz w:val="24"/>
          <w:szCs w:val="24"/>
        </w:rPr>
        <w:t>《项目委托监</w:t>
      </w:r>
      <w:r>
        <w:rPr>
          <w:rFonts w:hint="eastAsia" w:ascii="仿宋_GB2312" w:eastAsia="仿宋_GB2312" w:cs="宋体"/>
          <w:sz w:val="24"/>
          <w:szCs w:val="24"/>
        </w:rPr>
        <w:t>管合同》（包括对该合同的任何有效修订与补充，以下简称“《项目委托监管合同》”）及本监管方案约定的监管措施、要求等</w:t>
      </w:r>
      <w:r>
        <w:rPr>
          <w:rFonts w:hint="eastAsia" w:ascii="仿宋_GB2312" w:eastAsia="仿宋_GB2312"/>
          <w:sz w:val="24"/>
          <w:szCs w:val="24"/>
        </w:rPr>
        <w:t>实施现场或非现场具体监管工作。一般包括但不限于如下：</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hint="eastAsia" w:ascii="仿宋_GB2312" w:eastAsia="仿宋_GB2312" w:cs="宋体"/>
          <w:sz w:val="24"/>
          <w:szCs w:val="24"/>
        </w:rPr>
        <w:t>现场监管</w:t>
      </w:r>
      <w:r>
        <w:rPr>
          <w:rFonts w:hint="eastAsia" w:ascii="仿宋_GB2312" w:eastAsia="仿宋_GB2312"/>
          <w:sz w:val="24"/>
          <w:szCs w:val="24"/>
        </w:rPr>
        <w:t>人员审核被监管主体日常资金收支、印鉴使用</w:t>
      </w:r>
      <w:r>
        <w:rPr>
          <w:rFonts w:hint="eastAsia" w:ascii="仿宋_GB2312" w:eastAsia="仿宋_GB2312" w:cs="宋体"/>
          <w:sz w:val="24"/>
          <w:szCs w:val="24"/>
        </w:rPr>
        <w:t>、合同签署</w:t>
      </w:r>
      <w:r>
        <w:rPr>
          <w:rFonts w:hint="eastAsia" w:ascii="仿宋_GB2312" w:eastAsia="仿宋_GB2312"/>
          <w:sz w:val="24"/>
          <w:szCs w:val="24"/>
        </w:rPr>
        <w:t>等事项。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2.现场监管</w:t>
      </w:r>
      <w:r>
        <w:rPr>
          <w:rFonts w:hint="eastAsia" w:ascii="仿宋_GB2312" w:eastAsia="仿宋_GB2312" w:cs="宋体"/>
          <w:sz w:val="24"/>
          <w:szCs w:val="24"/>
        </w:rPr>
        <w:t>人员</w:t>
      </w:r>
      <w:r>
        <w:rPr>
          <w:rFonts w:hint="eastAsia" w:ascii="仿宋_GB2312" w:eastAsia="仿宋_GB2312"/>
          <w:sz w:val="24"/>
          <w:szCs w:val="24"/>
        </w:rPr>
        <w:t>对被监管主体报审的事项及授权范围内的事项尽职审查，监督办理，对需要报审的事项提出专业意见。</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3.现场监管</w:t>
      </w:r>
      <w:r>
        <w:rPr>
          <w:rFonts w:hint="eastAsia" w:ascii="仿宋_GB2312" w:eastAsia="仿宋_GB2312" w:cs="宋体"/>
          <w:sz w:val="24"/>
          <w:szCs w:val="24"/>
        </w:rPr>
        <w:t>人员与</w:t>
      </w:r>
      <w:r>
        <w:rPr>
          <w:rFonts w:hint="eastAsia" w:ascii="仿宋_GB2312" w:eastAsia="仿宋_GB2312"/>
          <w:sz w:val="24"/>
          <w:szCs w:val="24"/>
        </w:rPr>
        <w:t>被监管主体</w:t>
      </w:r>
      <w:r>
        <w:rPr>
          <w:rFonts w:hint="eastAsia" w:ascii="仿宋_GB2312" w:eastAsia="仿宋_GB2312" w:cs="宋体"/>
          <w:sz w:val="24"/>
          <w:szCs w:val="24"/>
        </w:rPr>
        <w:t>指定人员共同</w:t>
      </w:r>
      <w:r>
        <w:rPr>
          <w:rFonts w:hint="eastAsia" w:ascii="仿宋_GB2312" w:eastAsia="仿宋_GB2312"/>
          <w:sz w:val="24"/>
          <w:szCs w:val="24"/>
        </w:rPr>
        <w:t>管理</w:t>
      </w:r>
      <w:r>
        <w:rPr>
          <w:rFonts w:hint="eastAsia" w:ascii="仿宋_GB2312" w:eastAsia="仿宋_GB2312" w:cs="宋体"/>
          <w:sz w:val="24"/>
          <w:szCs w:val="24"/>
        </w:rPr>
        <w:t>被监管主体</w:t>
      </w:r>
      <w:r>
        <w:rPr>
          <w:rFonts w:hint="eastAsia" w:ascii="仿宋_GB2312" w:eastAsia="仿宋_GB2312"/>
          <w:sz w:val="24"/>
          <w:szCs w:val="24"/>
        </w:rPr>
        <w:t>的公章、合同章、财务章、法人章、营销章、电子印章（如有）</w:t>
      </w:r>
      <w:r>
        <w:rPr>
          <w:rFonts w:hint="eastAsia" w:ascii="仿宋_GB2312" w:eastAsia="仿宋_GB2312" w:cs="宋体"/>
          <w:sz w:val="24"/>
          <w:szCs w:val="24"/>
        </w:rPr>
        <w:t>等全部印鉴</w:t>
      </w:r>
      <w:r>
        <w:rPr>
          <w:rFonts w:hint="eastAsia" w:ascii="仿宋_GB2312" w:eastAsia="仿宋_GB2312"/>
          <w:sz w:val="24"/>
          <w:szCs w:val="24"/>
        </w:rPr>
        <w:t>。办理日常用印事项时，慎重甄别盖章事项性质，按照权限审核或报审（详见</w:t>
      </w:r>
      <w:r>
        <w:rPr>
          <w:rFonts w:hint="eastAsia" w:ascii="仿宋_GB2312" w:eastAsia="仿宋_GB2312" w:cs="宋体"/>
          <w:sz w:val="24"/>
          <w:szCs w:val="24"/>
        </w:rPr>
        <w:t>本监管方案</w:t>
      </w:r>
      <w:r>
        <w:rPr>
          <w:rFonts w:hint="eastAsia" w:ascii="仿宋_GB2312" w:eastAsia="仿宋_GB2312"/>
          <w:sz w:val="24"/>
          <w:szCs w:val="24"/>
        </w:rPr>
        <w:t>第四部分审批权限）。</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4.现场监管</w:t>
      </w:r>
      <w:r>
        <w:rPr>
          <w:rFonts w:hint="eastAsia" w:ascii="仿宋_GB2312" w:eastAsia="仿宋_GB2312" w:cs="宋体"/>
          <w:sz w:val="24"/>
          <w:szCs w:val="24"/>
        </w:rPr>
        <w:t>人员与</w:t>
      </w:r>
      <w:r>
        <w:rPr>
          <w:rFonts w:hint="eastAsia" w:ascii="仿宋_GB2312" w:eastAsia="仿宋_GB2312"/>
          <w:sz w:val="24"/>
          <w:szCs w:val="24"/>
        </w:rPr>
        <w:t>被监管主体</w:t>
      </w:r>
      <w:r>
        <w:rPr>
          <w:rFonts w:hint="eastAsia" w:ascii="仿宋_GB2312" w:eastAsia="仿宋_GB2312" w:cs="宋体"/>
          <w:sz w:val="24"/>
          <w:szCs w:val="24"/>
        </w:rPr>
        <w:t>指定人员共同</w:t>
      </w:r>
      <w:r>
        <w:rPr>
          <w:rFonts w:hint="eastAsia" w:ascii="仿宋_GB2312" w:eastAsia="仿宋_GB2312"/>
          <w:sz w:val="24"/>
          <w:szCs w:val="24"/>
        </w:rPr>
        <w:t>管理被监管主体</w:t>
      </w:r>
      <w:r>
        <w:rPr>
          <w:rFonts w:hint="eastAsia" w:ascii="仿宋_GB2312" w:eastAsia="仿宋_GB2312" w:cs="宋体"/>
          <w:sz w:val="24"/>
          <w:szCs w:val="24"/>
        </w:rPr>
        <w:t>的</w:t>
      </w:r>
      <w:r>
        <w:rPr>
          <w:rFonts w:hint="eastAsia" w:ascii="仿宋_GB2312" w:eastAsia="仿宋_GB2312"/>
          <w:sz w:val="24"/>
          <w:szCs w:val="24"/>
        </w:rPr>
        <w:t>《营业执照》、《组织机构代码证》（如有）、《开户许可证》（如有）、《不动产权证书》、《建设用地规划许可证》、《建设工程规划许可证》、《建筑工程施工许可证》、《预售许可证》</w:t>
      </w:r>
      <w:r>
        <w:rPr>
          <w:rFonts w:hint="eastAsia" w:ascii="仿宋_GB2312" w:eastAsia="仿宋_GB2312" w:cs="宋体"/>
          <w:sz w:val="24"/>
          <w:szCs w:val="24"/>
        </w:rPr>
        <w:t>等全部证照</w:t>
      </w:r>
      <w:r>
        <w:rPr>
          <w:rFonts w:hint="eastAsia" w:ascii="仿宋_GB2312" w:eastAsia="仿宋_GB2312"/>
          <w:sz w:val="24"/>
          <w:szCs w:val="24"/>
        </w:rPr>
        <w:t>原件，</w:t>
      </w:r>
      <w:r>
        <w:rPr>
          <w:rFonts w:hint="eastAsia" w:ascii="仿宋_GB2312" w:eastAsia="仿宋_GB2312" w:cs="宋体"/>
          <w:sz w:val="24"/>
          <w:szCs w:val="24"/>
        </w:rPr>
        <w:t>被监管主体</w:t>
      </w:r>
      <w:r>
        <w:rPr>
          <w:rFonts w:hint="eastAsia" w:ascii="仿宋_GB2312" w:eastAsia="仿宋_GB2312"/>
          <w:sz w:val="24"/>
          <w:szCs w:val="24"/>
        </w:rPr>
        <w:t>使用需办理登记借用手续并向现场监管</w:t>
      </w:r>
      <w:r>
        <w:rPr>
          <w:rFonts w:hint="eastAsia" w:ascii="仿宋_GB2312" w:eastAsia="仿宋_GB2312" w:cs="宋体"/>
          <w:sz w:val="24"/>
          <w:szCs w:val="24"/>
        </w:rPr>
        <w:t>人</w:t>
      </w:r>
      <w:r>
        <w:rPr>
          <w:rFonts w:hint="eastAsia" w:ascii="仿宋_GB2312" w:eastAsia="仿宋_GB2312"/>
          <w:sz w:val="24"/>
          <w:szCs w:val="24"/>
        </w:rPr>
        <w:t>员和项目组报送审批。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5.被监管主体应</w:t>
      </w:r>
      <w:bookmarkStart w:id="9" w:name="_Hlk48844809"/>
      <w:r>
        <w:rPr>
          <w:rFonts w:hint="eastAsia" w:ascii="仿宋_GB2312" w:eastAsia="仿宋_GB2312"/>
          <w:sz w:val="24"/>
          <w:szCs w:val="24"/>
        </w:rPr>
        <w:t>确保</w:t>
      </w:r>
      <w:r>
        <w:rPr>
          <w:rFonts w:hint="eastAsia" w:ascii="仿宋_GB2312" w:eastAsia="仿宋_GB2312" w:cs="宋体"/>
          <w:sz w:val="24"/>
          <w:szCs w:val="24"/>
        </w:rPr>
        <w:t>现场监管人员可随时进入</w:t>
      </w:r>
      <w:r>
        <w:rPr>
          <w:rFonts w:hint="eastAsia" w:ascii="仿宋_GB2312" w:eastAsia="仿宋_GB2312"/>
          <w:sz w:val="24"/>
          <w:szCs w:val="24"/>
        </w:rPr>
        <w:t>被监管主体财务系统查询相关信息。</w:t>
      </w:r>
      <w:bookmarkEnd w:id="9"/>
      <w:r>
        <w:rPr>
          <w:rFonts w:hint="eastAsia" w:ascii="仿宋_GB2312" w:eastAsia="仿宋_GB2312" w:cs="宋体"/>
          <w:sz w:val="24"/>
          <w:szCs w:val="24"/>
        </w:rPr>
        <w:t>现场监管人员每日进入</w:t>
      </w:r>
      <w:r>
        <w:rPr>
          <w:rFonts w:hint="eastAsia" w:ascii="仿宋_GB2312" w:eastAsia="仿宋_GB2312"/>
          <w:sz w:val="24"/>
          <w:szCs w:val="24"/>
        </w:rPr>
        <w:t>被监管主体财务系统查询相关信息并查询银行账户情况，履行财务及资金、账户管理的职责，在</w:t>
      </w:r>
      <w:bookmarkStart w:id="10" w:name="_Hlk48844851"/>
      <w:r>
        <w:rPr>
          <w:rFonts w:hint="eastAsia" w:ascii="仿宋_GB2312" w:eastAsia="仿宋_GB2312"/>
          <w:sz w:val="24"/>
          <w:szCs w:val="24"/>
        </w:rPr>
        <w:t>《监管周报》、《监管月报》</w:t>
      </w:r>
      <w:bookmarkEnd w:id="10"/>
      <w:r>
        <w:rPr>
          <w:rFonts w:hint="eastAsia" w:ascii="仿宋_GB2312" w:eastAsia="仿宋_GB2312"/>
          <w:sz w:val="24"/>
          <w:szCs w:val="24"/>
        </w:rPr>
        <w:t>中对财务情况进行说明，并在《监管月报》附上被监管主体当期的《资产负债表》、《损益表》等财务报表，将财务系统出现的重大事项或异常财务信息及时汇报五矿信托项目组。</w:t>
      </w:r>
    </w:p>
    <w:p>
      <w:pPr>
        <w:widowControl/>
        <w:spacing w:line="360" w:lineRule="auto"/>
        <w:ind w:firstLine="480" w:firstLineChars="200"/>
        <w:rPr>
          <w:rFonts w:ascii="仿宋_GB2312" w:eastAsia="仿宋_GB2312"/>
          <w:sz w:val="24"/>
          <w:szCs w:val="24"/>
        </w:rPr>
      </w:pPr>
      <w:r>
        <w:rPr>
          <w:rFonts w:ascii="仿宋_GB2312" w:eastAsia="仿宋_GB2312" w:cs="宋体"/>
          <w:sz w:val="24"/>
          <w:szCs w:val="24"/>
        </w:rPr>
        <w:t>6</w:t>
      </w:r>
      <w:r>
        <w:rPr>
          <w:rFonts w:hint="eastAsia" w:ascii="仿宋_GB2312" w:eastAsia="仿宋_GB2312" w:cs="宋体"/>
          <w:sz w:val="24"/>
          <w:szCs w:val="24"/>
        </w:rPr>
        <w:t>.</w:t>
      </w:r>
      <w:r>
        <w:rPr>
          <w:rFonts w:hint="eastAsia" w:ascii="仿宋_GB2312" w:eastAsia="仿宋_GB2312"/>
          <w:sz w:val="24"/>
          <w:szCs w:val="24"/>
        </w:rPr>
        <w:t>支付交易文件项下各类款项需第三方监管机构和五矿信托审核备案。</w:t>
      </w:r>
    </w:p>
    <w:p>
      <w:pPr>
        <w:widowControl/>
        <w:spacing w:line="360" w:lineRule="auto"/>
        <w:ind w:firstLine="480" w:firstLineChars="200"/>
        <w:rPr>
          <w:rFonts w:ascii="仿宋_GB2312" w:eastAsia="仿宋_GB2312"/>
          <w:sz w:val="24"/>
          <w:szCs w:val="24"/>
        </w:rPr>
      </w:pPr>
      <w:r>
        <w:rPr>
          <w:rFonts w:ascii="仿宋_GB2312" w:eastAsia="仿宋_GB2312"/>
          <w:sz w:val="24"/>
          <w:szCs w:val="24"/>
        </w:rPr>
        <w:t>7</w:t>
      </w:r>
      <w:r>
        <w:rPr>
          <w:rFonts w:hint="eastAsia" w:ascii="仿宋_GB2312" w:eastAsia="仿宋_GB2312"/>
          <w:sz w:val="24"/>
          <w:szCs w:val="24"/>
        </w:rPr>
        <w:t>.被监管主体签订的合同，现场监管人员应留存用印后合同扫描件备案。</w:t>
      </w:r>
    </w:p>
    <w:p>
      <w:pPr>
        <w:widowControl/>
        <w:spacing w:line="360" w:lineRule="auto"/>
        <w:ind w:firstLine="480" w:firstLineChars="200"/>
        <w:rPr>
          <w:rFonts w:ascii="仿宋_GB2312" w:eastAsia="仿宋_GB2312"/>
          <w:sz w:val="24"/>
          <w:szCs w:val="24"/>
        </w:rPr>
      </w:pPr>
      <w:r>
        <w:rPr>
          <w:rFonts w:ascii="仿宋_GB2312" w:eastAsia="仿宋_GB2312"/>
          <w:sz w:val="24"/>
          <w:szCs w:val="24"/>
        </w:rPr>
        <w:t>8</w:t>
      </w:r>
      <w:r>
        <w:rPr>
          <w:rFonts w:hint="eastAsia" w:ascii="仿宋_GB2312" w:eastAsia="仿宋_GB2312"/>
          <w:sz w:val="24"/>
          <w:szCs w:val="24"/>
        </w:rPr>
        <w:t>.关注被监管主体可能发生的对外融资、负债等情况，关注被监管主体及其实际控制人其他融资情况，并及时向五矿信托项目组、运营管理总部进行汇报。</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10.关注被监管主体可能发生的合并、分立、破产、重组、变更注册资本、对外担保、负债等重大事项，及时向五矿信托项目组、运营管理总部汇报。</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11.关注被监管主体发生的重大法律诉讼事项等。</w:t>
      </w:r>
    </w:p>
    <w:p>
      <w:pPr>
        <w:widowControl/>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12.被监管主体的全部公章、财务专用章、合同专用章、法定代表人人名章及其它全部印章（如有）、被监管方全部账户网银U-key、支付密码器、预留印鉴、密钥、支票、单位结算卡（如有）、印鉴卡、全部证照（以下合称“监管物件”）等均应存放于共管保险柜内，共管保险柜的开启密码及钥匙等全部开启工具仅由现场监管人员与被监管主体指定人员分别保管，共管保险柜的主钥匙由第三方监管机构驻场监管人员保管，密码由被监管主体指定人员保管，共管保险柜应急钥匙（如有）交由五矿信托项目组保管，共管保险柜需第三方监管机构驻场监管人员、被监管主体指定人员共同操作方可开启。共管保险柜应使用全新保险柜并在第三方监管机构驻场监管人员交接当日拆封启用，监管物品使用完毕，应由现场监管人员将放回共管保险柜并锁闭、加密。现场监管人员、被监管主体均不得私自使用监管物品。</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13.其他五矿信托需要的项目股权投资及债权投资管理措施。</w:t>
      </w:r>
    </w:p>
    <w:p>
      <w:pPr>
        <w:widowControl/>
        <w:spacing w:line="360" w:lineRule="auto"/>
        <w:ind w:firstLine="482" w:firstLineChars="200"/>
        <w:outlineLvl w:val="0"/>
        <w:rPr>
          <w:rFonts w:ascii="仿宋_GB2312" w:eastAsia="仿宋_GB2312"/>
          <w:b/>
          <w:sz w:val="24"/>
          <w:szCs w:val="24"/>
        </w:rPr>
      </w:pPr>
      <w:r>
        <w:rPr>
          <w:rFonts w:hint="eastAsia" w:ascii="仿宋_GB2312" w:eastAsia="仿宋_GB2312"/>
          <w:b/>
          <w:sz w:val="24"/>
          <w:szCs w:val="24"/>
        </w:rPr>
        <w:t>三、财务规划执行及监管</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具体包括但不限于：</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1.监管</w:t>
      </w:r>
      <w:r>
        <w:rPr>
          <w:rFonts w:hint="eastAsia" w:ascii="仿宋_GB2312" w:eastAsia="仿宋_GB2312" w:cs="宋体"/>
          <w:sz w:val="24"/>
          <w:szCs w:val="24"/>
        </w:rPr>
        <w:t>被监管主体</w:t>
      </w:r>
      <w:r>
        <w:rPr>
          <w:rFonts w:hint="eastAsia" w:ascii="仿宋_GB2312" w:eastAsia="仿宋_GB2312"/>
          <w:sz w:val="24"/>
          <w:szCs w:val="24"/>
        </w:rPr>
        <w:t>开立的所有银行账户，并监管</w:t>
      </w:r>
      <w:r>
        <w:rPr>
          <w:rFonts w:hint="eastAsia" w:ascii="仿宋_GB2312" w:eastAsia="仿宋_GB2312" w:cs="宋体"/>
          <w:sz w:val="24"/>
          <w:szCs w:val="24"/>
        </w:rPr>
        <w:t>被监管主体</w:t>
      </w:r>
      <w:r>
        <w:rPr>
          <w:rFonts w:hint="eastAsia" w:ascii="仿宋_GB2312" w:eastAsia="仿宋_GB2312"/>
          <w:sz w:val="24"/>
          <w:szCs w:val="24"/>
        </w:rPr>
        <w:t>所有</w:t>
      </w:r>
      <w:r>
        <w:rPr>
          <w:rFonts w:hint="eastAsia" w:ascii="仿宋_GB2312" w:eastAsia="仿宋_GB2312" w:cs="宋体"/>
          <w:sz w:val="24"/>
          <w:szCs w:val="24"/>
        </w:rPr>
        <w:t>资金</w:t>
      </w:r>
      <w:r>
        <w:rPr>
          <w:rFonts w:hint="eastAsia" w:ascii="仿宋_GB2312" w:eastAsia="仿宋_GB2312"/>
          <w:sz w:val="24"/>
          <w:szCs w:val="24"/>
        </w:rPr>
        <w:t>支出及所有资金收入，审核各项支出的依据和财务凭证，定期汇报</w:t>
      </w:r>
      <w:r>
        <w:rPr>
          <w:rFonts w:hint="eastAsia" w:ascii="仿宋_GB2312" w:eastAsia="仿宋_GB2312" w:cs="宋体"/>
          <w:sz w:val="24"/>
          <w:szCs w:val="24"/>
        </w:rPr>
        <w:t>被监管主体</w:t>
      </w:r>
      <w:r>
        <w:rPr>
          <w:rFonts w:hint="eastAsia" w:ascii="仿宋_GB2312" w:eastAsia="仿宋_GB2312"/>
          <w:sz w:val="24"/>
          <w:szCs w:val="24"/>
        </w:rPr>
        <w:t>收支情况，监督</w:t>
      </w:r>
      <w:r>
        <w:rPr>
          <w:rFonts w:hint="eastAsia" w:ascii="仿宋_GB2312" w:eastAsia="仿宋_GB2312" w:cs="宋体"/>
          <w:sz w:val="24"/>
          <w:szCs w:val="24"/>
        </w:rPr>
        <w:t>被监管主体</w:t>
      </w:r>
      <w:r>
        <w:rPr>
          <w:rFonts w:hint="eastAsia" w:ascii="仿宋_GB2312" w:eastAsia="仿宋_GB2312"/>
          <w:sz w:val="24"/>
          <w:szCs w:val="24"/>
        </w:rPr>
        <w:t>的</w:t>
      </w:r>
      <w:r>
        <w:rPr>
          <w:rFonts w:hint="eastAsia" w:ascii="仿宋_GB2312" w:eastAsia="仿宋_GB2312" w:cs="宋体"/>
          <w:sz w:val="24"/>
          <w:szCs w:val="24"/>
        </w:rPr>
        <w:t>资金</w:t>
      </w:r>
      <w:r>
        <w:rPr>
          <w:rFonts w:hint="eastAsia" w:ascii="仿宋_GB2312" w:eastAsia="仿宋_GB2312"/>
          <w:sz w:val="24"/>
          <w:szCs w:val="24"/>
        </w:rPr>
        <w:t>使用</w:t>
      </w:r>
      <w:r>
        <w:rPr>
          <w:rFonts w:hint="eastAsia" w:ascii="仿宋_GB2312" w:eastAsia="仿宋_GB2312" w:cs="宋体"/>
          <w:sz w:val="24"/>
          <w:szCs w:val="24"/>
        </w:rPr>
        <w:t>；</w:t>
      </w:r>
      <w:r>
        <w:rPr>
          <w:rFonts w:hint="eastAsia" w:ascii="仿宋_GB2312" w:eastAsia="仿宋_GB2312"/>
          <w:sz w:val="24"/>
          <w:szCs w:val="24"/>
        </w:rPr>
        <w:t>核实第三方销售代理公司（如有）收款情况并按月统计收款台账。</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被监管主体对外付款若单笔在200万元以下（不含）的，由第三方监管机构出具具体审核意见后，报五矿信托项目组审批；若单笔在200万元以上（含）的，由第三方监管机构出具具体审核意见后，报五矿信托运营管理总部审批。</w:t>
      </w:r>
    </w:p>
    <w:p>
      <w:pPr>
        <w:widowControl/>
        <w:spacing w:line="360" w:lineRule="auto"/>
        <w:ind w:firstLine="480" w:firstLineChars="200"/>
        <w:rPr>
          <w:rFonts w:ascii="仿宋_GB2312" w:eastAsia="仿宋_GB2312" w:cs="宋体"/>
          <w:sz w:val="24"/>
          <w:szCs w:val="24"/>
        </w:rPr>
      </w:pPr>
      <w:r>
        <w:rPr>
          <w:rFonts w:ascii="仿宋_GB2312" w:eastAsia="仿宋_GB2312"/>
          <w:sz w:val="24"/>
          <w:szCs w:val="24"/>
        </w:rPr>
        <w:t>3</w:t>
      </w:r>
      <w:r>
        <w:rPr>
          <w:rFonts w:hint="eastAsia" w:ascii="仿宋_GB2312" w:eastAsia="仿宋_GB2312" w:cs="宋体"/>
          <w:sz w:val="24"/>
          <w:szCs w:val="24"/>
        </w:rPr>
        <w:t>.现场监管人员就被监管主体对外签署的合同，依据经五矿信托确认的相关项目开发计划、成本测算控制表、总体销售计划表、现金流测算表等情况</w:t>
      </w:r>
      <w:r>
        <w:rPr>
          <w:rFonts w:hint="eastAsia" w:ascii="仿宋_GB2312" w:eastAsia="仿宋_GB2312"/>
          <w:sz w:val="24"/>
          <w:szCs w:val="24"/>
        </w:rPr>
        <w:t>，</w:t>
      </w:r>
      <w:r>
        <w:rPr>
          <w:rFonts w:hint="eastAsia" w:ascii="仿宋_GB2312" w:eastAsia="仿宋_GB2312" w:cs="宋体"/>
          <w:sz w:val="24"/>
          <w:szCs w:val="24"/>
        </w:rPr>
        <w:t>对标的额在500万元以上（含）包括但不限于工程施工、采购等合同提出专业评审意见并报五矿信托项目组审批，标的额在500万元以下的由现场监管人员审核后报备五矿信托项目组。被监管主体对外签署的合同经现场监管人员或五矿信托项目组审批通过后进行签署。</w:t>
      </w:r>
    </w:p>
    <w:p>
      <w:pPr>
        <w:widowControl/>
        <w:spacing w:line="360" w:lineRule="auto"/>
        <w:ind w:firstLine="480" w:firstLineChars="200"/>
        <w:rPr>
          <w:rFonts w:ascii="仿宋_GB2312" w:eastAsia="仿宋_GB2312" w:cs="宋体"/>
          <w:sz w:val="24"/>
          <w:szCs w:val="24"/>
        </w:rPr>
      </w:pPr>
      <w:r>
        <w:rPr>
          <w:rFonts w:hint="eastAsia" w:ascii="仿宋_GB2312" w:eastAsia="仿宋_GB2312" w:cs="宋体"/>
          <w:sz w:val="24"/>
          <w:szCs w:val="24"/>
        </w:rPr>
        <w:t>5.按照《项目委托监管合同》的要求，现场监管人员定期汇报账户情况。</w:t>
      </w:r>
    </w:p>
    <w:p>
      <w:pPr>
        <w:widowControl/>
        <w:spacing w:line="360" w:lineRule="auto"/>
        <w:ind w:firstLine="480" w:firstLineChars="200"/>
        <w:rPr>
          <w:rFonts w:ascii="仿宋_GB2312" w:eastAsia="仿宋_GB2312"/>
          <w:sz w:val="24"/>
          <w:szCs w:val="24"/>
        </w:rPr>
      </w:pPr>
      <w:r>
        <w:rPr>
          <w:rFonts w:hint="eastAsia" w:ascii="仿宋_GB2312" w:eastAsia="仿宋_GB2312" w:cs="宋体"/>
          <w:sz w:val="24"/>
          <w:szCs w:val="24"/>
        </w:rPr>
        <w:t>6.通过中国人民银行账户管理系统查询被监管主体所有账户并对被监管主体</w:t>
      </w:r>
      <w:r>
        <w:rPr>
          <w:rFonts w:hint="eastAsia" w:ascii="仿宋_GB2312" w:eastAsia="仿宋_GB2312"/>
          <w:sz w:val="24"/>
          <w:szCs w:val="24"/>
        </w:rPr>
        <w:t>所有账户进行监管、核对。</w:t>
      </w:r>
      <w:r>
        <w:rPr>
          <w:rFonts w:hint="eastAsia" w:ascii="仿宋_GB2312" w:eastAsia="仿宋_GB2312" w:cs="宋体"/>
          <w:sz w:val="24"/>
          <w:szCs w:val="24"/>
        </w:rPr>
        <w:t>被监管主体</w:t>
      </w:r>
      <w:r>
        <w:rPr>
          <w:rFonts w:hint="eastAsia" w:ascii="仿宋_GB2312" w:eastAsia="仿宋_GB2312"/>
          <w:sz w:val="24"/>
          <w:szCs w:val="24"/>
        </w:rPr>
        <w:t>需按月提供上述账户的银企对账单据复印件，由现场监管人员对上述账户的收入、支出来源进行审查、分析。</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第三方监管机构及</w:t>
      </w:r>
      <w:r>
        <w:rPr>
          <w:rFonts w:hint="eastAsia" w:ascii="仿宋_GB2312" w:eastAsia="仿宋_GB2312" w:cs="宋体"/>
          <w:sz w:val="24"/>
          <w:szCs w:val="24"/>
        </w:rPr>
        <w:t>现场</w:t>
      </w:r>
      <w:r>
        <w:rPr>
          <w:rFonts w:hint="eastAsia" w:ascii="仿宋_GB2312" w:eastAsia="仿宋_GB2312"/>
          <w:sz w:val="24"/>
          <w:szCs w:val="24"/>
        </w:rPr>
        <w:t>监管人员通过前述措施将全面掌握</w:t>
      </w:r>
      <w:r>
        <w:rPr>
          <w:rFonts w:hint="eastAsia" w:ascii="仿宋_GB2312" w:eastAsia="仿宋_GB2312" w:cs="宋体"/>
          <w:sz w:val="24"/>
          <w:szCs w:val="24"/>
        </w:rPr>
        <w:t>被监管主体</w:t>
      </w:r>
      <w:r>
        <w:rPr>
          <w:rFonts w:hint="eastAsia" w:ascii="仿宋_GB2312" w:eastAsia="仿宋_GB2312"/>
          <w:sz w:val="24"/>
          <w:szCs w:val="24"/>
        </w:rPr>
        <w:t>运营情况，专业、审慎开展</w:t>
      </w:r>
      <w:r>
        <w:rPr>
          <w:rFonts w:hint="eastAsia" w:ascii="仿宋_GB2312" w:eastAsia="仿宋_GB2312" w:cs="宋体"/>
          <w:sz w:val="24"/>
          <w:szCs w:val="24"/>
        </w:rPr>
        <w:t>被监管主体</w:t>
      </w:r>
      <w:r>
        <w:rPr>
          <w:rFonts w:hint="eastAsia" w:ascii="仿宋_GB2312" w:eastAsia="仿宋_GB2312"/>
          <w:sz w:val="24"/>
          <w:szCs w:val="24"/>
        </w:rPr>
        <w:t>日常监管工作。</w:t>
      </w:r>
    </w:p>
    <w:p>
      <w:pPr>
        <w:widowControl/>
        <w:spacing w:line="360" w:lineRule="auto"/>
        <w:ind w:firstLine="482" w:firstLineChars="200"/>
        <w:outlineLvl w:val="0"/>
        <w:rPr>
          <w:rFonts w:ascii="仿宋_GB2312" w:eastAsia="仿宋_GB2312"/>
          <w:b/>
          <w:bCs/>
          <w:sz w:val="24"/>
          <w:szCs w:val="24"/>
        </w:rPr>
      </w:pPr>
      <w:r>
        <w:rPr>
          <w:rFonts w:hint="eastAsia" w:ascii="仿宋_GB2312" w:eastAsia="仿宋_GB2312"/>
          <w:b/>
          <w:bCs/>
          <w:sz w:val="24"/>
          <w:szCs w:val="24"/>
        </w:rPr>
        <w:t>四、事项审批及权限设置</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sz w:val="24"/>
          <w:szCs w:val="24"/>
        </w:rPr>
        <w:t>（一）</w:t>
      </w:r>
      <w:r>
        <w:rPr>
          <w:rFonts w:hint="eastAsia" w:ascii="仿宋_GB2312" w:eastAsia="仿宋_GB2312"/>
          <w:sz w:val="24"/>
          <w:szCs w:val="24"/>
        </w:rPr>
        <w:tab/>
      </w:r>
      <w:r>
        <w:rPr>
          <w:rFonts w:hint="eastAsia" w:ascii="仿宋_GB2312" w:eastAsia="仿宋_GB2312"/>
          <w:sz w:val="24"/>
          <w:szCs w:val="24"/>
        </w:rPr>
        <w:t>重大事项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1、本项目监管期间所称重大事项包括：</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1)被监管主体增加或减少注册资本、变更公司股权结构；</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2)被监管主体对外担保、对外融资、大额资产处置；</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3)被监管主体改变公司经营范围，公司分立、合并、解散、清算或者变更公司形式；</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4)被监管主体修改公司章程；</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5)被监管主体发生重大投资（</w:t>
      </w:r>
      <w:r>
        <w:rPr>
          <w:rFonts w:ascii="仿宋_GB2312" w:eastAsia="仿宋_GB2312"/>
          <w:sz w:val="24"/>
          <w:szCs w:val="24"/>
        </w:rPr>
        <w:t>指金额不低于</w:t>
      </w:r>
      <w:r>
        <w:rPr>
          <w:rFonts w:hint="eastAsia" w:ascii="仿宋_GB2312" w:eastAsia="仿宋_GB2312"/>
          <w:sz w:val="24"/>
          <w:szCs w:val="24"/>
        </w:rPr>
        <w:t>被监管主体</w:t>
      </w:r>
      <w:r>
        <w:rPr>
          <w:rFonts w:ascii="仿宋_GB2312" w:eastAsia="仿宋_GB2312"/>
          <w:sz w:val="24"/>
          <w:szCs w:val="24"/>
        </w:rPr>
        <w:t>最近一期经审计净资产的10%的对外投资（含收购兼并）</w:t>
      </w:r>
      <w:r>
        <w:rPr>
          <w:rFonts w:hint="eastAsia" w:ascii="仿宋_GB2312" w:eastAsia="仿宋_GB2312"/>
          <w:sz w:val="24"/>
          <w:szCs w:val="24"/>
        </w:rPr>
        <w:t>，按照《战略合作协议》约定投资于项目公司除外）、资产抵押/质押及其他担保（含设定第三方优先权或其他权利负担）事项；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6)被监管主体对外投资、对外借款及融资行为；</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7)被监管主体转让、出售或处置</w:t>
      </w:r>
      <w:r>
        <w:rPr>
          <w:rFonts w:ascii="仿宋_GB2312" w:eastAsia="仿宋_GB2312"/>
          <w:sz w:val="24"/>
          <w:szCs w:val="24"/>
        </w:rPr>
        <w:t>权益资产</w:t>
      </w:r>
      <w:r>
        <w:rPr>
          <w:rFonts w:hint="eastAsia" w:ascii="仿宋_GB2312" w:eastAsia="仿宋_GB2312"/>
          <w:sz w:val="24"/>
          <w:szCs w:val="24"/>
        </w:rPr>
        <w:t>、处置、重组相关公司持有债券或其他权益；</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8)被监管主体向任何关联公司或其他公司、合作伙伴，或者其他实体提供借款或财务资助；</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9)被监管主体使用监管账户资金用于相关项目建设、履行交易文件项下支付义务以外的用途；</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10)信托计划存续期间，被监管主体发生停产、歇业、被注销登记、被吊销营业执照、法定代表人或主要负责人从事违法活动、涉及重大诉讼活动、生产经营出现严重困难、财务状况恶化情形，或其他对其履行各信托文件约定的交易文件项下支付义务产生重大不利影响的事件；</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r>
        <w:rPr>
          <w:rFonts w:hint="eastAsia" w:ascii="仿宋_GB2312" w:eastAsia="仿宋_GB2312"/>
          <w:sz w:val="24"/>
          <w:szCs w:val="24"/>
        </w:rPr>
        <w:t>）被监管主体分红方案及预分红方案及被监管主体在其设立并持有1</w:t>
      </w:r>
      <w:r>
        <w:rPr>
          <w:rFonts w:ascii="仿宋_GB2312" w:eastAsia="仿宋_GB2312"/>
          <w:sz w:val="24"/>
          <w:szCs w:val="24"/>
        </w:rPr>
        <w:t>00</w:t>
      </w:r>
      <w:r>
        <w:rPr>
          <w:rFonts w:hint="eastAsia" w:ascii="仿宋_GB2312" w:eastAsia="仿宋_GB2312"/>
          <w:sz w:val="24"/>
          <w:szCs w:val="24"/>
        </w:rPr>
        <w:t>%股权的项目公司层面作出股东决定事项</w:t>
      </w:r>
      <w:ins w:id="0" w:author="Xue Y" w:date="2021-05-11T21:51:15Z">
        <w:r>
          <w:rPr>
            <w:rFonts w:hint="eastAsia" w:ascii="仿宋_GB2312" w:eastAsia="仿宋_GB2312"/>
            <w:sz w:val="24"/>
            <w:szCs w:val="24"/>
            <w:lang w:eastAsia="zh-CN"/>
          </w:rPr>
          <w:t>；</w:t>
        </w:r>
      </w:ins>
      <w:del w:id="1" w:author="Xue Y" w:date="2021-05-11T21:51:15Z">
        <w:bookmarkStart w:id="11" w:name="_GoBack"/>
        <w:bookmarkEnd w:id="11"/>
        <w:r>
          <w:rPr>
            <w:rFonts w:hint="eastAsia" w:ascii="仿宋_GB2312" w:eastAsia="仿宋_GB2312"/>
            <w:sz w:val="24"/>
            <w:szCs w:val="24"/>
          </w:rPr>
          <w:delText>。</w:delText>
        </w:r>
      </w:del>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2</w:t>
      </w:r>
      <w:r>
        <w:rPr>
          <w:rFonts w:hint="eastAsia" w:ascii="仿宋_GB2312" w:eastAsia="仿宋_GB2312"/>
          <w:sz w:val="24"/>
          <w:szCs w:val="24"/>
        </w:rPr>
        <w:t>）涉及标的项目经营重大调整事项。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2、重大事项均需由第三方监管机构审核并提出专业意见和得出结论报五矿信托项目组，由五矿信托项目组报五矿信托相关部门和领导集体决策方可实施。</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3、重大事项审批单后应附与本事项相关的合同、文件、以及被监管主体盖公章的申请说明（如有）等材料，如条件允许尽量同时提供上述材料的电子扫描件。</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4、现场监管人员应提前与被监管主体沟通，提早申报，避免延误。</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sz w:val="24"/>
          <w:szCs w:val="24"/>
        </w:rPr>
        <w:t>（二）一般事项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1.本项目监管期间所称一般事项包括：</w:t>
      </w:r>
    </w:p>
    <w:p>
      <w:pPr>
        <w:pStyle w:val="38"/>
        <w:widowControl/>
        <w:numPr>
          <w:ilvl w:val="0"/>
          <w:numId w:val="3"/>
        </w:numPr>
        <w:spacing w:line="360" w:lineRule="auto"/>
        <w:ind w:firstLineChars="0"/>
        <w:jc w:val="both"/>
        <w:rPr>
          <w:rFonts w:ascii="仿宋_GB2312" w:eastAsia="仿宋_GB2312"/>
          <w:sz w:val="24"/>
          <w:szCs w:val="24"/>
        </w:rPr>
      </w:pPr>
      <w:r>
        <w:rPr>
          <w:rFonts w:hint="eastAsia" w:ascii="仿宋_GB2312" w:eastAsia="仿宋_GB2312"/>
          <w:sz w:val="24"/>
          <w:szCs w:val="24"/>
        </w:rPr>
        <w:t>被监管主体单笔</w:t>
      </w:r>
      <w:r>
        <w:rPr>
          <w:rFonts w:ascii="仿宋_GB2312" w:eastAsia="仿宋_GB2312"/>
          <w:sz w:val="24"/>
          <w:szCs w:val="24"/>
        </w:rPr>
        <w:t>200万元以下（不含）</w:t>
      </w:r>
      <w:r>
        <w:rPr>
          <w:rFonts w:hint="eastAsia" w:ascii="仿宋_GB2312" w:eastAsia="仿宋_GB2312"/>
          <w:sz w:val="24"/>
          <w:szCs w:val="24"/>
        </w:rPr>
        <w:t>的资金支付；</w:t>
      </w:r>
    </w:p>
    <w:p>
      <w:pPr>
        <w:pStyle w:val="38"/>
        <w:widowControl/>
        <w:numPr>
          <w:ilvl w:val="0"/>
          <w:numId w:val="3"/>
        </w:numPr>
        <w:spacing w:line="360" w:lineRule="auto"/>
        <w:ind w:firstLineChars="0"/>
        <w:jc w:val="both"/>
        <w:rPr>
          <w:rFonts w:ascii="仿宋_GB2312" w:eastAsia="仿宋_GB2312"/>
          <w:sz w:val="24"/>
          <w:szCs w:val="24"/>
        </w:rPr>
      </w:pPr>
      <w:r>
        <w:rPr>
          <w:rFonts w:hint="eastAsia" w:ascii="仿宋_GB2312" w:eastAsia="仿宋_GB2312"/>
          <w:sz w:val="24"/>
          <w:szCs w:val="24"/>
        </w:rPr>
        <w:t>被监管主体金额</w:t>
      </w:r>
      <w:r>
        <w:rPr>
          <w:rFonts w:ascii="仿宋_GB2312" w:eastAsia="仿宋_GB2312"/>
          <w:sz w:val="24"/>
          <w:szCs w:val="24"/>
        </w:rPr>
        <w:t>500万元以上（含本数）合同签署；</w:t>
      </w:r>
    </w:p>
    <w:p>
      <w:pPr>
        <w:pStyle w:val="38"/>
        <w:widowControl/>
        <w:numPr>
          <w:ilvl w:val="0"/>
          <w:numId w:val="3"/>
        </w:numPr>
        <w:spacing w:line="360" w:lineRule="auto"/>
        <w:ind w:firstLineChars="0"/>
        <w:jc w:val="both"/>
        <w:rPr>
          <w:rFonts w:ascii="仿宋_GB2312" w:eastAsia="仿宋_GB2312"/>
          <w:sz w:val="24"/>
          <w:szCs w:val="24"/>
        </w:rPr>
      </w:pPr>
      <w:r>
        <w:rPr>
          <w:rFonts w:hint="eastAsia" w:ascii="仿宋_GB2312" w:eastAsia="仿宋_GB2312"/>
          <w:sz w:val="24"/>
          <w:szCs w:val="24"/>
        </w:rPr>
        <w:t>被监管主体单笔</w:t>
      </w:r>
      <w:r>
        <w:rPr>
          <w:rFonts w:ascii="仿宋_GB2312" w:eastAsia="仿宋_GB2312"/>
          <w:sz w:val="24"/>
          <w:szCs w:val="24"/>
        </w:rPr>
        <w:t>200万元以上（含）的资金支付；</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一般事项均需由第三方监管机构审核并提出专业审核意见得出结论，填写一般事项审批单（见附件），其中①-②由五矿信托项目组审批，并填写一般事项审批单-1。③由五矿信托项目组审核后报运营管理总部审批，填写一般事项审批单-2。五矿信托项目组和运营管理总部审核第三方监管机构是否给出结论性意见，以及单据之间的表面一致性，对于用款的合理性由第三方监管机构负责审核，第三方监管机构保证用款审核的时效性、全面性及严谨性。</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3.印章使用台账上用章编号栏应登记一般事项审批单编号。</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4.一般事项审批单后应附与本事项相关的合同、文件、以及被监管主体盖公章的申请说明（如有）等材料，如条件允许尽量同时提供上述材料的电子扫描件。</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5.现场监管人员应提前与被监管主体沟通，提早申报，避免延误。</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sz w:val="24"/>
          <w:szCs w:val="24"/>
        </w:rPr>
        <w:t>（三）授权事项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1.本项目监管期间所称授权事项包括：</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①审核金额500万元以下（不含本数）合同签署提出审核意见并报备五矿信托项目组；</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②被监管主体向杭州橙光置业有限责任公司偿还编号为【</w:t>
      </w:r>
      <w:r>
        <w:rPr>
          <w:rFonts w:ascii="仿宋_GB2312" w:hAnsi="仿宋" w:eastAsia="仿宋_GB2312"/>
          <w:sz w:val="24"/>
          <w:szCs w:val="24"/>
        </w:rPr>
        <w:t>P2020M12A-</w:t>
      </w:r>
      <w:r>
        <w:rPr>
          <w:rFonts w:hint="eastAsia" w:ascii="仿宋_GB2312" w:hAnsi="仿宋" w:eastAsia="仿宋_GB2312"/>
          <w:sz w:val="24"/>
          <w:szCs w:val="24"/>
        </w:rPr>
        <w:t>PT07</w:t>
      </w:r>
      <w:r>
        <w:rPr>
          <w:rFonts w:ascii="仿宋_GB2312" w:hAnsi="仿宋" w:eastAsia="仿宋_GB2312"/>
          <w:sz w:val="24"/>
          <w:szCs w:val="24"/>
        </w:rPr>
        <w:t>-003-02</w:t>
      </w:r>
      <w:r>
        <w:rPr>
          <w:rFonts w:hint="eastAsia" w:ascii="仿宋_GB2312" w:eastAsia="仿宋_GB2312"/>
          <w:sz w:val="24"/>
          <w:szCs w:val="24"/>
        </w:rPr>
        <w:t>】的《股东借款合同》项下贷款本息的资金支付。</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授权事项由现场监管人员审核被监管主体内部流程完备后，自行核对有关合同、文件，配合办理，用印事项应记载于印章使用台账上，印章使用台账每周随周报发送一次给第三方监管机构相关部门和五矿信托项目组，以便核对。</w:t>
      </w:r>
    </w:p>
    <w:p>
      <w:pPr>
        <w:widowControl/>
        <w:spacing w:line="360" w:lineRule="auto"/>
        <w:ind w:firstLine="482" w:firstLineChars="200"/>
        <w:outlineLvl w:val="0"/>
        <w:rPr>
          <w:rFonts w:ascii="仿宋_GB2312" w:eastAsia="仿宋_GB2312"/>
          <w:b/>
          <w:sz w:val="24"/>
          <w:szCs w:val="24"/>
        </w:rPr>
      </w:pPr>
      <w:r>
        <w:rPr>
          <w:rFonts w:hint="eastAsia" w:ascii="仿宋_GB2312" w:eastAsia="仿宋_GB2312"/>
          <w:b/>
          <w:sz w:val="24"/>
          <w:szCs w:val="24"/>
        </w:rPr>
        <w:t>五、证照、印章管控</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sz w:val="24"/>
          <w:szCs w:val="24"/>
        </w:rPr>
        <w:t>（一）印章管理</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hint="eastAsia" w:ascii="仿宋_GB2312" w:eastAsia="仿宋_GB2312" w:cs="宋体"/>
          <w:sz w:val="24"/>
          <w:szCs w:val="24"/>
        </w:rPr>
        <w:t>被监管主体</w:t>
      </w:r>
      <w:r>
        <w:rPr>
          <w:rFonts w:hint="eastAsia" w:ascii="仿宋_GB2312" w:eastAsia="仿宋_GB2312"/>
          <w:sz w:val="24"/>
          <w:szCs w:val="24"/>
        </w:rPr>
        <w:t>的公章、合同章、财务章、法人章、发票章、银行预留印鉴等由第三方监管机构派驻的现场监管</w:t>
      </w:r>
      <w:r>
        <w:rPr>
          <w:rFonts w:hint="eastAsia" w:ascii="仿宋_GB2312" w:eastAsia="仿宋_GB2312" w:cs="宋体"/>
          <w:sz w:val="24"/>
          <w:szCs w:val="24"/>
        </w:rPr>
        <w:t>人员</w:t>
      </w:r>
      <w:r>
        <w:rPr>
          <w:rFonts w:hint="eastAsia" w:ascii="仿宋_GB2312" w:eastAsia="仿宋_GB2312"/>
          <w:sz w:val="24"/>
          <w:szCs w:val="24"/>
        </w:rPr>
        <w:t>与</w:t>
      </w:r>
      <w:r>
        <w:rPr>
          <w:rFonts w:hint="eastAsia" w:ascii="仿宋_GB2312" w:eastAsia="仿宋_GB2312" w:cs="宋体"/>
          <w:sz w:val="24"/>
          <w:szCs w:val="24"/>
        </w:rPr>
        <w:t>被监管主体</w:t>
      </w:r>
      <w:r>
        <w:rPr>
          <w:rFonts w:hint="eastAsia" w:ascii="仿宋_GB2312" w:eastAsia="仿宋_GB2312"/>
          <w:sz w:val="24"/>
          <w:szCs w:val="24"/>
        </w:rPr>
        <w:t>指定人员共同负责保管。</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2.印章使用必须严格遵守印章使用审批程序，按照印章使用范围，经审批或授权后用印，未经批准，不得擅自用印。</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eastAsia="仿宋_GB2312" w:cs="宋体"/>
          <w:sz w:val="24"/>
          <w:szCs w:val="24"/>
        </w:rPr>
        <w:t>被监管主体</w:t>
      </w:r>
      <w:r>
        <w:rPr>
          <w:rFonts w:hint="eastAsia" w:ascii="仿宋_GB2312" w:eastAsia="仿宋_GB2312"/>
          <w:sz w:val="24"/>
          <w:szCs w:val="24"/>
        </w:rPr>
        <w:t>使用印章，由第三方监管机构现场监管人员审查用印事由和内部审批流程是否完备，根据用印事由审批权限填写“一般事项审批单”，本项目监管方案第四点第（三）项授权事项规定的现场监管人员授权权限范围内事项无需填写审批单。所有用印事项均需登记后用印，印章使用台账（合同用章还需登记合同台账）每周集中向五矿信托项目组回传；除现场监管人员授权权限范围内事项之外的待审批事项填写《一般事项审批单》并立即回传至五矿信托项目组，由五矿信托按照相应权限的审批流程签字回传第三方监管机构现场监管人员后用印。未经五矿信托审批的，第三方监管机构现场监管人员不得擅自用印。</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4.《一般事项审批单1》、《一般事项审批单2》应分别连续编号。</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5. 用印事项应执行登记制度，填写印章使用台账，须连号登记做好记录，登记号码与“审批单”号码对应，如有作废单号应在登记簿上明显标注。</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6. 印章使用台账应设置手写版与电子版，电子版随周报每周发送至五矿信托项目组；手写版用于现场监管人员登记备查，手写板应装订成册并填写连号页码，并由现场监管人员签字确认。现场监管人员应确保手写版与电子版内容一致。</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7.“审批单”应附用印文件及相关资料并按编号存档备查。</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8. 印章保管人用印时应认真审核用印内容及数量，经验证与审批内容相符后再用印，不得在空白纸上加盖印章。</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9. 印章应妥善保管，不得丢失。印章保管人应认真履行职责，确保印章安全。</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10. 印章保管人如有工作变动、病事假等特殊情况，应及时向第三方监管机构及五矿信托项目组汇报，并及时办理印章交接手续。原印章保管人复岗后，应报上述第三方监管机构及五矿信托项目组备案。</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11.</w:t>
      </w:r>
      <w:r>
        <w:rPr>
          <w:rFonts w:hint="eastAsia" w:ascii="仿宋_GB2312" w:eastAsia="仿宋_GB2312" w:cs="宋体"/>
          <w:sz w:val="24"/>
          <w:szCs w:val="24"/>
        </w:rPr>
        <w:t>不得</w:t>
      </w:r>
      <w:r>
        <w:rPr>
          <w:rFonts w:hint="eastAsia" w:ascii="仿宋_GB2312" w:eastAsia="仿宋_GB2312"/>
          <w:sz w:val="24"/>
          <w:szCs w:val="24"/>
        </w:rPr>
        <w:t>携带印章外出，如遇特殊情况，须经五矿信托项目组同意，并确保第三方监管机构现场监管</w:t>
      </w:r>
      <w:r>
        <w:rPr>
          <w:rFonts w:hint="eastAsia" w:ascii="仿宋_GB2312" w:eastAsia="仿宋_GB2312" w:cs="宋体"/>
          <w:sz w:val="24"/>
          <w:szCs w:val="24"/>
        </w:rPr>
        <w:t>人员</w:t>
      </w:r>
      <w:r>
        <w:rPr>
          <w:rFonts w:hint="eastAsia" w:ascii="仿宋_GB2312" w:eastAsia="仿宋_GB2312"/>
          <w:sz w:val="24"/>
          <w:szCs w:val="24"/>
        </w:rPr>
        <w:t>与</w:t>
      </w:r>
      <w:r>
        <w:rPr>
          <w:rFonts w:hint="eastAsia" w:ascii="仿宋_GB2312" w:eastAsia="仿宋_GB2312" w:cs="宋体"/>
          <w:sz w:val="24"/>
          <w:szCs w:val="24"/>
        </w:rPr>
        <w:t>被监管主体</w:t>
      </w:r>
      <w:r>
        <w:rPr>
          <w:rFonts w:hint="eastAsia" w:ascii="仿宋_GB2312" w:eastAsia="仿宋_GB2312"/>
          <w:sz w:val="24"/>
          <w:szCs w:val="24"/>
        </w:rPr>
        <w:t>共管人员共同携带印章外出使用，</w:t>
      </w:r>
      <w:r>
        <w:rPr>
          <w:rFonts w:hint="eastAsia" w:ascii="仿宋_GB2312" w:eastAsia="仿宋_GB2312" w:cs="宋体"/>
          <w:sz w:val="24"/>
          <w:szCs w:val="24"/>
        </w:rPr>
        <w:t>确保监管物品不被私自使用，且</w:t>
      </w:r>
      <w:r>
        <w:rPr>
          <w:rFonts w:hint="eastAsia" w:ascii="仿宋_GB2312" w:eastAsia="仿宋_GB2312"/>
          <w:sz w:val="24"/>
          <w:szCs w:val="24"/>
        </w:rPr>
        <w:t>外出事项应在印章使用台账上登记。</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12.</w:t>
      </w:r>
      <w:r>
        <w:rPr>
          <w:rFonts w:hint="eastAsia" w:ascii="仿宋_GB2312" w:eastAsia="仿宋_GB2312" w:cs="宋体"/>
          <w:sz w:val="24"/>
          <w:szCs w:val="24"/>
        </w:rPr>
        <w:t>被监管主体</w:t>
      </w:r>
      <w:r>
        <w:rPr>
          <w:rFonts w:hint="eastAsia" w:ascii="仿宋_GB2312" w:eastAsia="仿宋_GB2312"/>
          <w:sz w:val="24"/>
          <w:szCs w:val="24"/>
        </w:rPr>
        <w:t>承诺不私刻印章，所有的用印事项按照审批权限审批通过后方用印。</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13.关于证照的保管措施参照前述印章的保管措施执行。</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14.任何一方不得违反规定或约定擅自使用印章、证照，否则将视情节轻重给予处罚；造成损失的，由责任方向非责任方承担违约或赔偿责任。</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cs="宋体"/>
          <w:sz w:val="24"/>
          <w:szCs w:val="24"/>
        </w:rPr>
        <w:t>（二）</w:t>
      </w:r>
      <w:r>
        <w:rPr>
          <w:rFonts w:hint="eastAsia" w:ascii="仿宋_GB2312" w:eastAsia="仿宋_GB2312"/>
          <w:sz w:val="24"/>
          <w:szCs w:val="24"/>
        </w:rPr>
        <w:t>网银账户管理</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w:t>
      </w:r>
      <w:r>
        <w:rPr>
          <w:rFonts w:hint="eastAsia" w:ascii="仿宋_GB2312" w:eastAsia="仿宋_GB2312" w:cs="宋体"/>
          <w:sz w:val="24"/>
          <w:szCs w:val="24"/>
        </w:rPr>
        <w:t>若被监管主体</w:t>
      </w:r>
      <w:r>
        <w:rPr>
          <w:rFonts w:hint="eastAsia" w:ascii="仿宋_GB2312" w:eastAsia="仿宋_GB2312"/>
          <w:sz w:val="24"/>
          <w:szCs w:val="24"/>
        </w:rPr>
        <w:t>银行账户开通网银支付功能，则由第三方监管机构现场监管人员保管（最高权限）复核</w:t>
      </w:r>
      <w:r>
        <w:rPr>
          <w:rFonts w:ascii="仿宋_GB2312" w:eastAsia="仿宋_GB2312"/>
          <w:sz w:val="24"/>
          <w:szCs w:val="24"/>
        </w:rPr>
        <w:t>U-KEY。</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2.对于被监管主体已存在的具有网银支付功能的账户，操作录入</w:t>
      </w:r>
      <w:r>
        <w:rPr>
          <w:rFonts w:ascii="仿宋_GB2312" w:eastAsia="仿宋_GB2312"/>
          <w:sz w:val="24"/>
          <w:szCs w:val="24"/>
        </w:rPr>
        <w:t>key由被监管主体财务人员保管，支付复核和主管key（最高权限key）由现场监管人员保管。被监管主体应如实说明账户设置的付款方式，现场监管人员应向开户行了解该账户设置的付款方式（仅网银付款，或网银及支票、电汇方式均可），如仍可进行支票或电汇付款，应向开户行核对预留印鉴，确保对预留印鉴、支付密码器实施共管。被监管主体所有银行账户均应开通资金入出短信提示功能，确保现场监管人员可以及时获取资金进出信息</w:t>
      </w:r>
      <w:r>
        <w:rPr>
          <w:rFonts w:hint="eastAsia" w:ascii="仿宋_GB2312" w:eastAsia="仿宋_GB2312"/>
          <w:sz w:val="24"/>
          <w:szCs w:val="24"/>
        </w:rPr>
        <w:t>。</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3.对于经审批同意新</w:t>
      </w:r>
      <w:r>
        <w:rPr>
          <w:rFonts w:hint="eastAsia" w:ascii="仿宋_GB2312" w:eastAsia="仿宋_GB2312" w:cs="宋体"/>
          <w:sz w:val="24"/>
          <w:szCs w:val="24"/>
        </w:rPr>
        <w:t>开立</w:t>
      </w:r>
      <w:r>
        <w:rPr>
          <w:rFonts w:hint="eastAsia" w:ascii="仿宋_GB2312" w:eastAsia="仿宋_GB2312"/>
          <w:sz w:val="24"/>
          <w:szCs w:val="24"/>
        </w:rPr>
        <w:t>的具有网银支付功能的账户，第三方监管机构现场监管</w:t>
      </w:r>
      <w:r>
        <w:rPr>
          <w:rFonts w:hint="eastAsia" w:ascii="仿宋_GB2312" w:eastAsia="仿宋_GB2312" w:cs="宋体"/>
          <w:sz w:val="24"/>
          <w:szCs w:val="24"/>
        </w:rPr>
        <w:t>人员</w:t>
      </w:r>
      <w:r>
        <w:rPr>
          <w:rFonts w:hint="eastAsia" w:ascii="仿宋_GB2312" w:eastAsia="仿宋_GB2312"/>
          <w:sz w:val="24"/>
          <w:szCs w:val="24"/>
        </w:rPr>
        <w:t>须与被监管主体指定财务人员共同参与网银开户办理工作，审核提交银行的网银开通、撤销申请表，亲自参与网银密钥或密码器的领取与交回、初始密码设置、挂失等工作。且应确保被监管主体所有银行账户均开通资金入出短信提示功能，确保第三方监管机构现场监管</w:t>
      </w:r>
      <w:r>
        <w:rPr>
          <w:rFonts w:hint="eastAsia" w:ascii="仿宋_GB2312" w:eastAsia="仿宋_GB2312" w:cs="宋体"/>
          <w:sz w:val="24"/>
          <w:szCs w:val="24"/>
        </w:rPr>
        <w:t>人员</w:t>
      </w:r>
      <w:r>
        <w:rPr>
          <w:rFonts w:hint="eastAsia" w:ascii="仿宋_GB2312" w:eastAsia="仿宋_GB2312"/>
          <w:sz w:val="24"/>
          <w:szCs w:val="24"/>
        </w:rPr>
        <w:t>可以及时获取资金进出信息，如有异常的，第三方监管机构现场监管人员应及时通知五矿信托。</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4.支付密码器使用时，第三方监管机构现场监管人员必须全程监督，审核支付金额、收款单位和账号等信息，确保每次使用均在第三方监管机构现场监管人员监督下进行。</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5.付款完成后，第三方监管机构现场监管人员打印并留存网银支付回单，以备账务核对。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6.对于不具有支付功能而仅具有查询功能的账户，第三方监管机构现场监管人员通过共管财务专用章监督资金使用，且应对查询密码器进行共管。</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7.第三方监管机构现场监管人员应每月收集银行账户对账单和流水，对资金出入事项进行核对。</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8.被监管主体应确保第三方监管机构现场监管人员可随时查询其所有银行账户流水，第三方监管机构现场监管人员应根据五矿信托要求随时查询并提供被监管主体的银行账户流水。</w:t>
      </w:r>
    </w:p>
    <w:p>
      <w:pPr>
        <w:widowControl/>
        <w:spacing w:line="360" w:lineRule="auto"/>
        <w:ind w:firstLine="482" w:firstLineChars="200"/>
        <w:outlineLvl w:val="0"/>
        <w:rPr>
          <w:rFonts w:ascii="仿宋_GB2312" w:eastAsia="仿宋_GB2312"/>
          <w:sz w:val="24"/>
          <w:szCs w:val="24"/>
        </w:rPr>
      </w:pPr>
      <w:r>
        <w:rPr>
          <w:rFonts w:hint="eastAsia" w:ascii="仿宋_GB2312" w:eastAsia="仿宋_GB2312" w:cs="宋体"/>
          <w:b/>
          <w:sz w:val="24"/>
          <w:szCs w:val="24"/>
        </w:rPr>
        <w:t>六</w:t>
      </w:r>
      <w:r>
        <w:rPr>
          <w:rFonts w:hint="eastAsia" w:ascii="仿宋_GB2312" w:eastAsia="仿宋_GB2312"/>
          <w:b/>
          <w:sz w:val="24"/>
          <w:szCs w:val="24"/>
        </w:rPr>
        <w:t>、合同、资料管理</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1.第三方监管机构现场监管人员对</w:t>
      </w:r>
      <w:r>
        <w:rPr>
          <w:rFonts w:hint="eastAsia" w:ascii="仿宋_GB2312" w:eastAsia="仿宋_GB2312" w:cs="宋体"/>
          <w:sz w:val="24"/>
          <w:szCs w:val="24"/>
        </w:rPr>
        <w:t>被监管主体</w:t>
      </w:r>
      <w:r>
        <w:rPr>
          <w:rFonts w:hint="eastAsia" w:ascii="仿宋_GB2312" w:eastAsia="仿宋_GB2312"/>
          <w:sz w:val="24"/>
          <w:szCs w:val="24"/>
        </w:rPr>
        <w:t>所签所有合同，均应留存扫描件登记备查</w:t>
      </w:r>
      <w:r>
        <w:rPr>
          <w:rFonts w:hint="eastAsia" w:ascii="仿宋_GB2312" w:eastAsia="仿宋_GB2312" w:cs="宋体"/>
          <w:sz w:val="24"/>
          <w:szCs w:val="24"/>
        </w:rPr>
        <w:t>。</w:t>
      </w:r>
    </w:p>
    <w:p>
      <w:pPr>
        <w:widowControl/>
        <w:spacing w:line="360" w:lineRule="auto"/>
        <w:ind w:firstLine="480" w:firstLineChars="200"/>
        <w:rPr>
          <w:rFonts w:ascii="仿宋_GB2312" w:eastAsia="仿宋_GB2312"/>
          <w:sz w:val="24"/>
          <w:szCs w:val="24"/>
        </w:rPr>
      </w:pPr>
      <w:r>
        <w:rPr>
          <w:rFonts w:hint="eastAsia" w:ascii="仿宋_GB2312" w:eastAsia="仿宋_GB2312" w:cs="宋体"/>
          <w:sz w:val="24"/>
          <w:szCs w:val="24"/>
        </w:rPr>
        <w:t>2.被监管主体</w:t>
      </w:r>
      <w:r>
        <w:rPr>
          <w:rFonts w:hint="eastAsia" w:ascii="仿宋_GB2312" w:eastAsia="仿宋_GB2312"/>
          <w:sz w:val="24"/>
          <w:szCs w:val="24"/>
        </w:rPr>
        <w:t>不得单独对外签署</w:t>
      </w:r>
      <w:r>
        <w:rPr>
          <w:rFonts w:hint="eastAsia" w:ascii="仿宋_GB2312" w:eastAsia="仿宋_GB2312" w:cs="宋体"/>
          <w:sz w:val="24"/>
          <w:szCs w:val="24"/>
        </w:rPr>
        <w:t>任何</w:t>
      </w:r>
      <w:r>
        <w:rPr>
          <w:rFonts w:hint="eastAsia" w:ascii="仿宋_GB2312" w:eastAsia="仿宋_GB2312"/>
          <w:sz w:val="24"/>
          <w:szCs w:val="24"/>
        </w:rPr>
        <w:t>合同或出具</w:t>
      </w:r>
      <w:r>
        <w:rPr>
          <w:rFonts w:hint="eastAsia" w:ascii="仿宋_GB2312" w:eastAsia="仿宋_GB2312" w:cs="宋体"/>
          <w:sz w:val="24"/>
          <w:szCs w:val="24"/>
        </w:rPr>
        <w:t>任何</w:t>
      </w:r>
      <w:r>
        <w:rPr>
          <w:rFonts w:hint="eastAsia" w:ascii="仿宋_GB2312" w:eastAsia="仿宋_GB2312"/>
          <w:sz w:val="24"/>
          <w:szCs w:val="24"/>
        </w:rPr>
        <w:t>决议。</w:t>
      </w:r>
      <w:r>
        <w:rPr>
          <w:rFonts w:hint="eastAsia" w:ascii="仿宋_GB2312" w:eastAsia="仿宋_GB2312" w:cs="宋体"/>
          <w:sz w:val="24"/>
          <w:szCs w:val="24"/>
        </w:rPr>
        <w:t>第三方监管机构</w:t>
      </w:r>
      <w:r>
        <w:rPr>
          <w:rFonts w:hint="eastAsia" w:ascii="仿宋_GB2312" w:eastAsia="仿宋_GB2312"/>
          <w:sz w:val="24"/>
          <w:szCs w:val="24"/>
        </w:rPr>
        <w:t>对</w:t>
      </w:r>
      <w:r>
        <w:rPr>
          <w:rFonts w:hint="eastAsia" w:ascii="仿宋_GB2312" w:eastAsia="仿宋_GB2312" w:cs="宋体"/>
          <w:sz w:val="24"/>
          <w:szCs w:val="24"/>
        </w:rPr>
        <w:t>被监管主体</w:t>
      </w:r>
      <w:r>
        <w:rPr>
          <w:rFonts w:hint="eastAsia" w:ascii="仿宋_GB2312" w:eastAsia="仿宋_GB2312"/>
          <w:sz w:val="24"/>
          <w:szCs w:val="24"/>
        </w:rPr>
        <w:t>签署的所有合同记录台账（台账中应体现包括但不限于签署主体、签署时间、主要合同内容及事宜、合同履行情况、合同付款情况、是否存在违约等）定期审核并保存。</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3.第三方监管机构现场监管人员对被监管主体签订的所有合同进行审核，确保合同中记录的</w:t>
      </w:r>
      <w:r>
        <w:rPr>
          <w:rFonts w:hint="eastAsia" w:ascii="仿宋_GB2312" w:eastAsia="仿宋_GB2312" w:cs="宋体"/>
          <w:sz w:val="24"/>
          <w:szCs w:val="24"/>
        </w:rPr>
        <w:t>被监管主体</w:t>
      </w:r>
      <w:r>
        <w:rPr>
          <w:rFonts w:hint="eastAsia" w:ascii="仿宋_GB2312" w:eastAsia="仿宋_GB2312"/>
          <w:sz w:val="24"/>
          <w:szCs w:val="24"/>
        </w:rPr>
        <w:t>账户为监管内账户，并登记制作台账，并进行存档留底。</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4.第三方监管机构现场监管人员应对被监管主体所签合同及其付款情况进行登记，形成合同台账，发生付款事项应及时更新。每周合同台账应与周报一并提交。</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5.第三方监管机构现场监管人员应于</w:t>
      </w:r>
      <w:r>
        <w:rPr>
          <w:rFonts w:hint="eastAsia" w:ascii="仿宋_GB2312" w:eastAsia="仿宋_GB2312" w:cs="宋体"/>
          <w:sz w:val="24"/>
          <w:szCs w:val="24"/>
        </w:rPr>
        <w:t>信托</w:t>
      </w:r>
      <w:r>
        <w:rPr>
          <w:rFonts w:hint="eastAsia" w:ascii="仿宋_GB2312" w:eastAsia="仿宋_GB2312"/>
          <w:sz w:val="24"/>
          <w:szCs w:val="24"/>
        </w:rPr>
        <w:t>计划结束前</w:t>
      </w:r>
      <w:r>
        <w:rPr>
          <w:rFonts w:hint="eastAsia" w:ascii="仿宋_GB2312" w:eastAsia="仿宋_GB2312" w:cs="宋体"/>
          <w:sz w:val="24"/>
          <w:szCs w:val="24"/>
        </w:rPr>
        <w:t>1个月</w:t>
      </w:r>
      <w:r>
        <w:rPr>
          <w:rFonts w:hint="eastAsia" w:ascii="仿宋_GB2312" w:eastAsia="仿宋_GB2312"/>
          <w:sz w:val="24"/>
          <w:szCs w:val="24"/>
        </w:rPr>
        <w:t>将备案的合同文件移交至五矿信托项目组。</w:t>
      </w:r>
    </w:p>
    <w:p>
      <w:pPr>
        <w:widowControl/>
        <w:spacing w:line="360" w:lineRule="auto"/>
        <w:ind w:firstLine="482" w:firstLineChars="200"/>
        <w:outlineLvl w:val="0"/>
        <w:rPr>
          <w:rFonts w:ascii="仿宋_GB2312" w:eastAsia="仿宋_GB2312"/>
          <w:sz w:val="24"/>
          <w:szCs w:val="24"/>
        </w:rPr>
      </w:pPr>
      <w:r>
        <w:rPr>
          <w:rFonts w:hint="eastAsia" w:ascii="仿宋_GB2312" w:eastAsia="仿宋_GB2312" w:cs="宋体"/>
          <w:b/>
          <w:sz w:val="24"/>
          <w:szCs w:val="24"/>
        </w:rPr>
        <w:t>七、</w:t>
      </w:r>
      <w:r>
        <w:rPr>
          <w:rFonts w:hint="eastAsia" w:ascii="仿宋_GB2312" w:eastAsia="仿宋_GB2312"/>
          <w:b/>
          <w:sz w:val="24"/>
          <w:szCs w:val="24"/>
        </w:rPr>
        <w:t>报告制度</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sz w:val="24"/>
          <w:szCs w:val="24"/>
        </w:rPr>
        <w:t>（一）周报</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第三方监管机构现场监管人员应于每周五通过电子邮件向五矿信托项目组提交上周五至本周四被监管主体情况的书面报告（如遇节假日则相应顺延），报告内容包括：证照取得情况、合同签署及支付情况、大额资金支付情况、被监管主体所在地政策及市场变化重大事项，同时另附合同台账、印章使用台账扫描件。</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sz w:val="24"/>
          <w:szCs w:val="24"/>
        </w:rPr>
        <w:t>（二）月报</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第三方监管机构现场监管人员应于每月15日（如遇节假日则相应顺延）前出具上月《监管月报》，报送第三方监管机构和五矿信托项目组，内容包括但不限于资金财务情况、工程建设情况、市场情况、</w:t>
      </w:r>
      <w:r>
        <w:rPr>
          <w:rFonts w:hint="eastAsia" w:ascii="仿宋_GB2312" w:eastAsia="仿宋_GB2312" w:cs="宋体"/>
          <w:sz w:val="24"/>
          <w:szCs w:val="24"/>
        </w:rPr>
        <w:t>合同签署及支付情况、大额资金支付情况</w:t>
      </w:r>
      <w:r>
        <w:rPr>
          <w:rFonts w:hint="eastAsia" w:ascii="仿宋_GB2312" w:eastAsia="仿宋_GB2312"/>
          <w:sz w:val="24"/>
          <w:szCs w:val="24"/>
        </w:rPr>
        <w:t>存在问题提示等，本报告需提交2份加盖第三方监管机构公章的纸质报告。</w:t>
      </w:r>
    </w:p>
    <w:p>
      <w:pPr>
        <w:widowControl/>
        <w:spacing w:line="360" w:lineRule="auto"/>
        <w:ind w:firstLine="480" w:firstLineChars="200"/>
        <w:outlineLvl w:val="1"/>
        <w:rPr>
          <w:rFonts w:ascii="仿宋_GB2312" w:eastAsia="仿宋_GB2312"/>
          <w:sz w:val="24"/>
          <w:szCs w:val="24"/>
        </w:rPr>
      </w:pPr>
      <w:r>
        <w:rPr>
          <w:rFonts w:hint="eastAsia" w:ascii="仿宋_GB2312" w:eastAsia="仿宋_GB2312"/>
          <w:sz w:val="24"/>
          <w:szCs w:val="24"/>
        </w:rPr>
        <w:t>（三）随时报告</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第三方监管机构现场监管人员如发现或知悉被监管主体发生或可能发生审批权限中所列重大变化及异常，</w:t>
      </w:r>
      <w:r>
        <w:rPr>
          <w:rFonts w:hint="eastAsia" w:ascii="仿宋_GB2312" w:eastAsia="仿宋_GB2312" w:cs="宋体"/>
          <w:sz w:val="24"/>
          <w:szCs w:val="24"/>
        </w:rPr>
        <w:t>导致或可能导致账户被封、发生编号为【</w:t>
      </w:r>
      <w:r>
        <w:rPr>
          <w:rFonts w:ascii="仿宋_GB2312" w:eastAsia="仿宋_GB2312" w:cs="宋体"/>
          <w:sz w:val="24"/>
          <w:szCs w:val="24"/>
        </w:rPr>
        <w:t>P2020M12A-CX01-002</w:t>
      </w:r>
      <w:r>
        <w:rPr>
          <w:rFonts w:hint="eastAsia" w:ascii="仿宋_GB2312" w:eastAsia="仿宋_GB2312" w:cs="宋体"/>
          <w:sz w:val="24"/>
          <w:szCs w:val="24"/>
        </w:rPr>
        <w:t>】的《战略合作协议》项下标的项目对赌触发退出情形等一切第三方监管机构</w:t>
      </w:r>
      <w:r>
        <w:rPr>
          <w:rFonts w:hint="eastAsia" w:ascii="仿宋_GB2312" w:eastAsia="仿宋_GB2312"/>
          <w:sz w:val="24"/>
          <w:szCs w:val="24"/>
        </w:rPr>
        <w:t>现场监管人员认为有必要汇报的各种信息，应</w:t>
      </w:r>
      <w:r>
        <w:rPr>
          <w:rFonts w:hint="eastAsia" w:ascii="仿宋_GB2312" w:eastAsia="仿宋_GB2312" w:cs="宋体"/>
          <w:sz w:val="24"/>
          <w:szCs w:val="24"/>
        </w:rPr>
        <w:t>立即</w:t>
      </w:r>
      <w:r>
        <w:rPr>
          <w:rFonts w:hint="eastAsia" w:ascii="仿宋_GB2312" w:eastAsia="仿宋_GB2312"/>
          <w:sz w:val="24"/>
          <w:szCs w:val="24"/>
        </w:rPr>
        <w:t>向五矿信托汇报。第三方监管机构现场监管人员应及时了解标的项目是否存在涉及被监管主体董事会层面、股东层面决定的事项，若有，应立即向五矿信托汇报。</w:t>
      </w:r>
    </w:p>
    <w:p>
      <w:pPr>
        <w:widowControl/>
        <w:spacing w:line="360" w:lineRule="auto"/>
        <w:ind w:firstLine="482" w:firstLineChars="200"/>
        <w:outlineLvl w:val="0"/>
        <w:rPr>
          <w:rFonts w:ascii="仿宋_GB2312" w:eastAsia="仿宋_GB2312"/>
          <w:sz w:val="24"/>
          <w:szCs w:val="24"/>
        </w:rPr>
      </w:pPr>
      <w:r>
        <w:rPr>
          <w:rFonts w:hint="eastAsia" w:ascii="仿宋_GB2312" w:eastAsia="仿宋_GB2312" w:cs="宋体"/>
          <w:b/>
          <w:sz w:val="24"/>
          <w:szCs w:val="24"/>
        </w:rPr>
        <w:t>八、</w:t>
      </w:r>
      <w:r>
        <w:rPr>
          <w:rFonts w:hint="eastAsia" w:ascii="仿宋_GB2312" w:eastAsia="仿宋_GB2312"/>
          <w:b/>
          <w:sz w:val="24"/>
          <w:szCs w:val="24"/>
        </w:rPr>
        <w:t>现场监管巡检制度</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第三方监管机构至少每季度组织人员对被监管主体运行情况、现场监管尽职情况等进行巡视检查。五矿信托项目组可不定期现场检查被监管主体运行情况。</w:t>
      </w:r>
    </w:p>
    <w:p>
      <w:pPr>
        <w:widowControl/>
        <w:spacing w:line="360" w:lineRule="auto"/>
        <w:ind w:firstLine="482" w:firstLineChars="200"/>
        <w:outlineLvl w:val="0"/>
        <w:rPr>
          <w:rFonts w:ascii="仿宋_GB2312" w:eastAsia="仿宋_GB2312"/>
          <w:sz w:val="24"/>
          <w:szCs w:val="24"/>
        </w:rPr>
      </w:pPr>
      <w:r>
        <w:rPr>
          <w:rFonts w:hint="eastAsia" w:ascii="仿宋_GB2312" w:eastAsia="仿宋_GB2312" w:cs="宋体"/>
          <w:b/>
          <w:sz w:val="24"/>
          <w:szCs w:val="24"/>
        </w:rPr>
        <w:t>九、</w:t>
      </w:r>
      <w:r>
        <w:rPr>
          <w:rFonts w:hint="eastAsia" w:ascii="仿宋_GB2312" w:eastAsia="仿宋_GB2312"/>
          <w:b/>
          <w:sz w:val="24"/>
          <w:szCs w:val="24"/>
        </w:rPr>
        <w:t>季度财务审查制度</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第三方监管机构对被监管主体的财务状况进行审查并对</w:t>
      </w:r>
      <w:r>
        <w:rPr>
          <w:rFonts w:hint="eastAsia" w:ascii="仿宋_GB2312" w:eastAsia="仿宋_GB2312" w:cs="宋体"/>
          <w:sz w:val="24"/>
          <w:szCs w:val="24"/>
        </w:rPr>
        <w:t>第三方销售代理公司（如有）收款情况进行统计</w:t>
      </w:r>
      <w:r>
        <w:rPr>
          <w:rFonts w:hint="eastAsia" w:ascii="仿宋_GB2312" w:eastAsia="仿宋_GB2312"/>
          <w:sz w:val="24"/>
          <w:szCs w:val="24"/>
        </w:rPr>
        <w:t>，了解被监管主体在监管期内财务核算流程、资金控制手续、资产、负债状况，债权、债务状况，合同签订及履约付款情况，资金使用情况，对外担保、举债情况，或有债务情况等，并出具季度财务审查报告报送五矿信托。此项需五矿信托、被监管主体充分支持。</w:t>
      </w:r>
    </w:p>
    <w:p>
      <w:pPr>
        <w:widowControl/>
        <w:spacing w:line="360" w:lineRule="auto"/>
        <w:ind w:firstLine="482" w:firstLineChars="200"/>
        <w:outlineLvl w:val="0"/>
        <w:rPr>
          <w:rFonts w:ascii="仿宋_GB2312" w:eastAsia="仿宋_GB2312"/>
          <w:sz w:val="24"/>
          <w:szCs w:val="24"/>
        </w:rPr>
      </w:pPr>
      <w:r>
        <w:rPr>
          <w:rFonts w:hint="eastAsia" w:ascii="仿宋_GB2312" w:eastAsia="仿宋_GB2312" w:cs="宋体"/>
          <w:b/>
          <w:sz w:val="24"/>
          <w:szCs w:val="24"/>
        </w:rPr>
        <w:t>十、</w:t>
      </w:r>
      <w:r>
        <w:rPr>
          <w:rFonts w:hint="eastAsia" w:ascii="仿宋_GB2312" w:eastAsia="仿宋_GB2312"/>
          <w:b/>
          <w:sz w:val="24"/>
          <w:szCs w:val="24"/>
        </w:rPr>
        <w:t>其他</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被监管主体需向第三方监管机构提供被监管主体运营情况，包括但不限于证照取得情况、资金使用情况及其他重大事项进展情况等；第三方监管机构现场监管人员需全面的掌握被监管主体运营情况，了解被监管主体资金的申请及使用情况等；掌握大额资金支出的合理性、真实性，掌握被监管主体资金账户使用情况。现场监管人员应查询、抄录、复制、备案与信托资金使用有关的账目及其他文件并定期报送第三方监管机构和五矿信托项目组。</w:t>
      </w:r>
    </w:p>
    <w:p>
      <w:pPr>
        <w:widowControl/>
        <w:spacing w:line="360" w:lineRule="auto"/>
        <w:ind w:firstLine="480" w:firstLineChars="200"/>
        <w:rPr>
          <w:rFonts w:ascii="仿宋_GB2312" w:eastAsia="仿宋_GB2312"/>
          <w:sz w:val="24"/>
          <w:szCs w:val="24"/>
        </w:rPr>
      </w:pPr>
      <w:r>
        <w:rPr>
          <w:rFonts w:hint="eastAsia" w:ascii="仿宋_GB2312" w:eastAsia="仿宋_GB2312"/>
          <w:sz w:val="24"/>
          <w:szCs w:val="24"/>
        </w:rPr>
        <w:t>如拟竞拍项目进入合作开发阶段，各方同意按照五矿信托审批的项目监管方案就《项目委托监管合同》签署补充协议，并对本项目监管方案进行更新，被监管主体同意按照更新后的项目监管方案接受五矿信托以及第三方监管机构对其证照、印鉴、银行账户、资金支付、项目开发、项目销售等各项监管安排。</w:t>
      </w:r>
    </w:p>
    <w:p>
      <w:pPr>
        <w:spacing w:line="360" w:lineRule="auto"/>
        <w:outlineLvl w:val="0"/>
        <w:rPr>
          <w:rFonts w:ascii="仿宋_GB2312" w:eastAsia="仿宋_GB2312"/>
          <w:bCs/>
          <w:sz w:val="24"/>
          <w:szCs w:val="24"/>
        </w:rPr>
      </w:pPr>
      <w:r>
        <w:rPr>
          <w:rFonts w:ascii="仿宋_GB2312" w:eastAsia="仿宋_GB2312"/>
          <w:sz w:val="24"/>
          <w:szCs w:val="24"/>
        </w:rPr>
        <w:br w:type="page"/>
      </w:r>
      <w:r>
        <w:rPr>
          <w:rFonts w:hint="eastAsia" w:ascii="仿宋_GB2312" w:eastAsia="仿宋_GB2312"/>
          <w:bCs/>
          <w:sz w:val="24"/>
          <w:szCs w:val="24"/>
        </w:rPr>
        <w:t>附件1：公司一般事项审批单1</w:t>
      </w:r>
    </w:p>
    <w:p>
      <w:pPr>
        <w:spacing w:line="360" w:lineRule="auto"/>
        <w:ind w:firstLine="723" w:firstLineChars="300"/>
        <w:jc w:val="center"/>
        <w:rPr>
          <w:rFonts w:ascii="仿宋_GB2312" w:eastAsia="仿宋_GB2312"/>
          <w:b/>
          <w:sz w:val="24"/>
          <w:szCs w:val="24"/>
        </w:rPr>
      </w:pPr>
      <w:r>
        <w:rPr>
          <w:rFonts w:hint="eastAsia" w:ascii="仿宋_GB2312" w:eastAsia="仿宋_GB2312"/>
          <w:b/>
          <w:sz w:val="24"/>
          <w:szCs w:val="24"/>
          <w:u w:val="single"/>
        </w:rPr>
        <w:t>XXX</w:t>
      </w:r>
      <w:r>
        <w:rPr>
          <w:rFonts w:hint="eastAsia" w:ascii="仿宋_GB2312" w:eastAsia="仿宋_GB2312"/>
          <w:b/>
          <w:sz w:val="24"/>
          <w:szCs w:val="24"/>
        </w:rPr>
        <w:t>项目一般事项审批单-1(样本)</w:t>
      </w:r>
    </w:p>
    <w:p>
      <w:pPr>
        <w:spacing w:line="360" w:lineRule="auto"/>
        <w:ind w:right="105"/>
        <w:jc w:val="right"/>
        <w:rPr>
          <w:rFonts w:ascii="仿宋_GB2312" w:eastAsia="仿宋_GB2312"/>
          <w:sz w:val="24"/>
          <w:szCs w:val="24"/>
        </w:rPr>
      </w:pPr>
      <w:r>
        <w:rPr>
          <w:rFonts w:hint="eastAsia" w:ascii="仿宋_GB2312" w:eastAsia="仿宋_GB2312"/>
          <w:sz w:val="24"/>
          <w:szCs w:val="24"/>
        </w:rPr>
        <w:t>编号：一般事项第XXX号</w:t>
      </w:r>
    </w:p>
    <w:tbl>
      <w:tblPr>
        <w:tblStyle w:val="13"/>
        <w:tblW w:w="9639" w:type="dxa"/>
        <w:tblInd w:w="-5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5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639" w:type="dxa"/>
            <w:gridSpan w:val="2"/>
            <w:noWrap/>
            <w:vAlign w:val="center"/>
          </w:tcPr>
          <w:p>
            <w:pPr>
              <w:spacing w:line="360" w:lineRule="auto"/>
              <w:rPr>
                <w:rFonts w:ascii="仿宋_GB2312" w:eastAsia="仿宋_GB2312"/>
                <w:sz w:val="24"/>
                <w:szCs w:val="24"/>
              </w:rPr>
            </w:pPr>
            <w:r>
              <w:rPr>
                <w:rFonts w:hint="eastAsia" w:ascii="仿宋_GB2312" w:eastAsia="仿宋_GB2312"/>
                <w:sz w:val="24"/>
                <w:szCs w:val="24"/>
              </w:rPr>
              <w:t>发起人员：XXXX项目现场监管XXXX日期：年月日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noWrap/>
            <w:vAlign w:val="center"/>
          </w:tcPr>
          <w:p>
            <w:pPr>
              <w:spacing w:line="360" w:lineRule="auto"/>
              <w:rPr>
                <w:rFonts w:ascii="仿宋_GB2312" w:eastAsia="仿宋_GB2312"/>
                <w:sz w:val="24"/>
                <w:szCs w:val="24"/>
              </w:rPr>
            </w:pPr>
            <w:r>
              <w:rPr>
                <w:rFonts w:hint="eastAsia" w:ascii="仿宋_GB2312" w:eastAsia="仿宋_GB2312"/>
                <w:sz w:val="24"/>
                <w:szCs w:val="24"/>
              </w:rPr>
              <w:t>审批单标题：关于XXX的申请/请示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noWrap/>
            <w:vAlign w:val="center"/>
          </w:tcPr>
          <w:p>
            <w:pPr>
              <w:spacing w:line="360" w:lineRule="auto"/>
              <w:rPr>
                <w:rFonts w:ascii="仿宋_GB2312" w:eastAsia="仿宋_GB2312"/>
                <w:sz w:val="24"/>
                <w:szCs w:val="24"/>
              </w:rPr>
            </w:pPr>
            <w:r>
              <w:rPr>
                <w:rFonts w:hint="eastAsia" w:ascii="仿宋_GB2312" w:eastAsia="仿宋_GB2312"/>
                <w:sz w:val="24"/>
                <w:szCs w:val="24"/>
              </w:rPr>
              <w:t>是否用印：□是□否用印类型：XXX章</w:t>
            </w:r>
          </w:p>
          <w:p>
            <w:pPr>
              <w:spacing w:line="360" w:lineRule="auto"/>
              <w:rPr>
                <w:rFonts w:ascii="仿宋_GB2312" w:eastAsia="仿宋_GB2312"/>
                <w:sz w:val="24"/>
                <w:szCs w:val="24"/>
              </w:rPr>
            </w:pPr>
            <w:r>
              <w:rPr>
                <w:rFonts w:hint="eastAsia" w:ascii="仿宋_GB2312" w:eastAsia="仿宋_GB2312"/>
                <w:sz w:val="24"/>
                <w:szCs w:val="24"/>
              </w:rPr>
              <w:t>用款金额：XXXX元/万元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9639" w:type="dxa"/>
            <w:gridSpan w:val="2"/>
            <w:noWrap/>
          </w:tcPr>
          <w:p>
            <w:pPr>
              <w:spacing w:line="360" w:lineRule="auto"/>
              <w:rPr>
                <w:rFonts w:ascii="仿宋_GB2312" w:eastAsia="仿宋_GB2312"/>
                <w:sz w:val="24"/>
                <w:szCs w:val="24"/>
              </w:rPr>
            </w:pPr>
            <w:r>
              <w:rPr>
                <w:rFonts w:hint="eastAsia" w:ascii="仿宋_GB2312" w:eastAsia="仿宋_GB2312"/>
                <w:sz w:val="24"/>
                <w:szCs w:val="24"/>
              </w:rPr>
              <w:t>事由：</w:t>
            </w:r>
          </w:p>
          <w:p>
            <w:pPr>
              <w:spacing w:line="360" w:lineRule="auto"/>
              <w:rPr>
                <w:rFonts w:ascii="仿宋_GB2312" w:eastAsia="仿宋_GB2312"/>
                <w:sz w:val="24"/>
                <w:szCs w:val="24"/>
              </w:rPr>
            </w:pPr>
          </w:p>
          <w:p>
            <w:pPr>
              <w:spacing w:line="360" w:lineRule="auto"/>
              <w:ind w:firstLine="480"/>
              <w:rPr>
                <w:rFonts w:ascii="仿宋_GB2312" w:eastAsia="仿宋_GB2312"/>
                <w:sz w:val="24"/>
                <w:szCs w:val="24"/>
              </w:rPr>
            </w:pPr>
          </w:p>
          <w:p>
            <w:pPr>
              <w:spacing w:line="360" w:lineRule="auto"/>
              <w:rPr>
                <w:rFonts w:ascii="仿宋_GB2312" w:eastAsia="仿宋_GB2312"/>
                <w:sz w:val="24"/>
                <w:szCs w:val="24"/>
              </w:rPr>
            </w:pPr>
            <w:r>
              <w:rPr>
                <w:rFonts w:hint="eastAsia" w:ascii="仿宋_GB2312" w:eastAsia="仿宋_GB2312"/>
                <w:sz w:val="24"/>
                <w:szCs w:val="24"/>
              </w:rPr>
              <w:t>附件：</w:t>
            </w:r>
          </w:p>
          <w:p>
            <w:pPr>
              <w:spacing w:line="360" w:lineRule="auto"/>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828" w:type="dxa"/>
            <w:vMerge w:val="restart"/>
            <w:noWrap/>
            <w:vAlign w:val="center"/>
          </w:tcPr>
          <w:p>
            <w:pPr>
              <w:spacing w:line="360" w:lineRule="auto"/>
              <w:rPr>
                <w:rFonts w:ascii="仿宋_GB2312" w:eastAsia="仿宋_GB2312"/>
                <w:sz w:val="24"/>
                <w:szCs w:val="24"/>
              </w:rPr>
            </w:pPr>
            <w:r>
              <w:rPr>
                <w:rFonts w:hint="eastAsia" w:ascii="仿宋_GB2312" w:eastAsia="仿宋_GB2312"/>
                <w:sz w:val="24"/>
                <w:szCs w:val="24"/>
              </w:rPr>
              <w:t>监管中介评审意见</w:t>
            </w:r>
          </w:p>
        </w:tc>
        <w:tc>
          <w:tcPr>
            <w:tcW w:w="5811" w:type="dxa"/>
            <w:noWrap/>
            <w:vAlign w:val="center"/>
          </w:tcPr>
          <w:p>
            <w:pPr>
              <w:spacing w:line="360" w:lineRule="auto"/>
              <w:rPr>
                <w:rFonts w:ascii="仿宋_GB2312" w:eastAsia="仿宋_GB2312" w:cs="宋体"/>
                <w:sz w:val="24"/>
                <w:szCs w:val="24"/>
              </w:rPr>
            </w:pPr>
          </w:p>
          <w:p>
            <w:pPr>
              <w:spacing w:line="360" w:lineRule="auto"/>
              <w:rPr>
                <w:rFonts w:ascii="仿宋_GB2312" w:eastAsia="仿宋_GB2312" w:cs="宋体"/>
                <w:sz w:val="24"/>
                <w:szCs w:val="24"/>
              </w:rPr>
            </w:pPr>
          </w:p>
          <w:p>
            <w:pPr>
              <w:spacing w:line="360" w:lineRule="auto"/>
              <w:rPr>
                <w:rFonts w:ascii="仿宋_GB2312" w:eastAsia="仿宋_GB2312" w:cs="宋体"/>
                <w:sz w:val="24"/>
                <w:szCs w:val="24"/>
              </w:rPr>
            </w:pPr>
          </w:p>
          <w:p>
            <w:pPr>
              <w:spacing w:line="360" w:lineRule="auto"/>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828" w:type="dxa"/>
            <w:vMerge w:val="continue"/>
            <w:noWrap/>
            <w:vAlign w:val="center"/>
          </w:tcPr>
          <w:p>
            <w:pPr>
              <w:spacing w:line="360" w:lineRule="auto"/>
              <w:rPr>
                <w:rFonts w:ascii="仿宋_GB2312" w:eastAsia="仿宋_GB2312"/>
                <w:sz w:val="24"/>
                <w:szCs w:val="24"/>
              </w:rPr>
            </w:pPr>
          </w:p>
        </w:tc>
        <w:tc>
          <w:tcPr>
            <w:tcW w:w="5811" w:type="dxa"/>
            <w:noWrap/>
            <w:vAlign w:val="center"/>
          </w:tcPr>
          <w:p>
            <w:pPr>
              <w:spacing w:line="360" w:lineRule="auto"/>
              <w:rPr>
                <w:rFonts w:ascii="仿宋_GB2312" w:eastAsia="仿宋_GB2312"/>
                <w:sz w:val="24"/>
                <w:szCs w:val="24"/>
              </w:rPr>
            </w:pPr>
            <w:r>
              <w:rPr>
                <w:rFonts w:hint="eastAsia" w:ascii="仿宋_GB2312" w:eastAsia="仿宋_GB2312"/>
                <w:sz w:val="24"/>
                <w:szCs w:val="24"/>
              </w:rPr>
              <w:t>审核人：复核人：审定人：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828" w:type="dxa"/>
            <w:noWrap/>
            <w:vAlign w:val="center"/>
          </w:tcPr>
          <w:p>
            <w:pPr>
              <w:spacing w:line="360" w:lineRule="auto"/>
              <w:rPr>
                <w:rFonts w:ascii="仿宋_GB2312" w:eastAsia="仿宋_GB2312"/>
                <w:sz w:val="24"/>
                <w:szCs w:val="24"/>
              </w:rPr>
            </w:pPr>
            <w:r>
              <w:rPr>
                <w:rFonts w:hint="eastAsia" w:ascii="仿宋_GB2312" w:eastAsia="仿宋_GB2312"/>
                <w:sz w:val="24"/>
                <w:szCs w:val="24"/>
              </w:rPr>
              <w:t>五矿信托项目组业务部经办人意见</w:t>
            </w:r>
          </w:p>
        </w:tc>
        <w:tc>
          <w:tcPr>
            <w:tcW w:w="5811" w:type="dxa"/>
            <w:noWrap/>
            <w:vAlign w:val="center"/>
          </w:tcPr>
          <w:p>
            <w:pPr>
              <w:spacing w:line="360" w:lineRule="auto"/>
              <w:ind w:firstLine="240" w:firstLineChars="100"/>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3828" w:type="dxa"/>
            <w:noWrap/>
            <w:vAlign w:val="center"/>
          </w:tcPr>
          <w:p>
            <w:pPr>
              <w:spacing w:line="360" w:lineRule="auto"/>
              <w:rPr>
                <w:rFonts w:ascii="仿宋_GB2312" w:eastAsia="仿宋_GB2312"/>
                <w:sz w:val="24"/>
                <w:szCs w:val="24"/>
              </w:rPr>
            </w:pPr>
            <w:r>
              <w:rPr>
                <w:rFonts w:hint="eastAsia" w:ascii="仿宋_GB2312" w:eastAsia="仿宋_GB2312"/>
                <w:sz w:val="24"/>
                <w:szCs w:val="24"/>
              </w:rPr>
              <w:t>五矿信托项目组业务部总经理或授权人意见</w:t>
            </w:r>
          </w:p>
        </w:tc>
        <w:tc>
          <w:tcPr>
            <w:tcW w:w="5811" w:type="dxa"/>
            <w:noWrap/>
            <w:vAlign w:val="center"/>
          </w:tcPr>
          <w:p>
            <w:pPr>
              <w:spacing w:line="360" w:lineRule="auto"/>
              <w:ind w:firstLine="240" w:firstLineChars="100"/>
              <w:rPr>
                <w:rFonts w:ascii="仿宋_GB2312" w:eastAsia="仿宋_GB2312"/>
                <w:sz w:val="24"/>
                <w:szCs w:val="24"/>
              </w:rPr>
            </w:pPr>
          </w:p>
        </w:tc>
      </w:tr>
    </w:tbl>
    <w:p>
      <w:pPr>
        <w:spacing w:line="360" w:lineRule="auto"/>
        <w:rPr>
          <w:rFonts w:ascii="仿宋_GB2312" w:eastAsia="仿宋_GB2312"/>
          <w:bCs/>
          <w:sz w:val="24"/>
          <w:szCs w:val="24"/>
        </w:rPr>
      </w:pPr>
    </w:p>
    <w:p>
      <w:pPr>
        <w:spacing w:line="360" w:lineRule="auto"/>
        <w:rPr>
          <w:rFonts w:ascii="仿宋_GB2312" w:eastAsia="仿宋_GB2312"/>
          <w:bCs/>
          <w:sz w:val="24"/>
          <w:szCs w:val="24"/>
        </w:rPr>
      </w:pPr>
    </w:p>
    <w:p>
      <w:pPr>
        <w:spacing w:line="360" w:lineRule="auto"/>
        <w:rPr>
          <w:rFonts w:ascii="仿宋_GB2312" w:eastAsia="仿宋_GB2312"/>
          <w:bCs/>
          <w:sz w:val="24"/>
          <w:szCs w:val="24"/>
        </w:rPr>
      </w:pPr>
    </w:p>
    <w:p>
      <w:pPr>
        <w:spacing w:line="360" w:lineRule="auto"/>
        <w:rPr>
          <w:rFonts w:ascii="仿宋_GB2312" w:eastAsia="仿宋_GB2312"/>
          <w:bCs/>
          <w:sz w:val="24"/>
          <w:szCs w:val="24"/>
        </w:rPr>
      </w:pPr>
    </w:p>
    <w:p>
      <w:pPr>
        <w:spacing w:line="360" w:lineRule="auto"/>
        <w:outlineLvl w:val="0"/>
        <w:rPr>
          <w:rFonts w:ascii="仿宋_GB2312" w:eastAsia="仿宋_GB2312"/>
          <w:b/>
          <w:sz w:val="24"/>
          <w:szCs w:val="24"/>
          <w:u w:val="single"/>
        </w:rPr>
      </w:pPr>
      <w:r>
        <w:rPr>
          <w:rFonts w:ascii="仿宋_GB2312" w:eastAsia="仿宋_GB2312"/>
          <w:bCs/>
          <w:sz w:val="24"/>
          <w:szCs w:val="24"/>
        </w:rPr>
        <w:br w:type="page"/>
      </w:r>
      <w:r>
        <w:rPr>
          <w:rFonts w:hint="eastAsia" w:ascii="仿宋_GB2312" w:eastAsia="仿宋_GB2312"/>
          <w:bCs/>
          <w:sz w:val="24"/>
          <w:szCs w:val="24"/>
        </w:rPr>
        <w:t>附件2：公司一般事项审批单2</w:t>
      </w:r>
    </w:p>
    <w:p>
      <w:pPr>
        <w:spacing w:line="360" w:lineRule="auto"/>
        <w:ind w:firstLine="723" w:firstLineChars="300"/>
        <w:jc w:val="center"/>
        <w:rPr>
          <w:rFonts w:ascii="仿宋_GB2312" w:eastAsia="仿宋_GB2312"/>
          <w:b/>
          <w:sz w:val="24"/>
          <w:szCs w:val="24"/>
        </w:rPr>
      </w:pPr>
      <w:r>
        <w:rPr>
          <w:rFonts w:hint="eastAsia" w:ascii="仿宋_GB2312" w:eastAsia="仿宋_GB2312"/>
          <w:b/>
          <w:sz w:val="24"/>
          <w:szCs w:val="24"/>
          <w:u w:val="single"/>
        </w:rPr>
        <w:t>XXX</w:t>
      </w:r>
      <w:r>
        <w:rPr>
          <w:rFonts w:hint="eastAsia" w:ascii="仿宋_GB2312" w:eastAsia="仿宋_GB2312"/>
          <w:b/>
          <w:sz w:val="24"/>
          <w:szCs w:val="24"/>
        </w:rPr>
        <w:t>项目一般事项审批单-2（样本）</w:t>
      </w:r>
    </w:p>
    <w:p>
      <w:pPr>
        <w:spacing w:line="360" w:lineRule="auto"/>
        <w:ind w:right="105"/>
        <w:jc w:val="right"/>
        <w:rPr>
          <w:rFonts w:ascii="仿宋_GB2312" w:eastAsia="仿宋_GB2312"/>
          <w:sz w:val="24"/>
          <w:szCs w:val="24"/>
        </w:rPr>
      </w:pPr>
      <w:r>
        <w:rPr>
          <w:rFonts w:hint="eastAsia" w:ascii="仿宋_GB2312" w:eastAsia="仿宋_GB2312"/>
          <w:sz w:val="24"/>
          <w:szCs w:val="24"/>
        </w:rPr>
        <w:t>编号：一般事项第XXX号</w:t>
      </w:r>
    </w:p>
    <w:tbl>
      <w:tblPr>
        <w:tblStyle w:val="13"/>
        <w:tblW w:w="9639" w:type="dxa"/>
        <w:tblInd w:w="-5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5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639" w:type="dxa"/>
            <w:gridSpan w:val="2"/>
            <w:noWrap/>
            <w:vAlign w:val="center"/>
          </w:tcPr>
          <w:p>
            <w:pPr>
              <w:spacing w:line="360" w:lineRule="auto"/>
              <w:rPr>
                <w:rFonts w:ascii="仿宋_GB2312" w:eastAsia="仿宋_GB2312"/>
                <w:sz w:val="24"/>
                <w:szCs w:val="24"/>
              </w:rPr>
            </w:pPr>
            <w:r>
              <w:rPr>
                <w:rFonts w:hint="eastAsia" w:ascii="仿宋_GB2312" w:eastAsia="仿宋_GB2312"/>
                <w:sz w:val="24"/>
                <w:szCs w:val="24"/>
              </w:rPr>
              <w:t>发起人员：XXXX项目现场监管XXXX日期：年月日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noWrap/>
            <w:vAlign w:val="center"/>
          </w:tcPr>
          <w:p>
            <w:pPr>
              <w:spacing w:line="360" w:lineRule="auto"/>
              <w:rPr>
                <w:rFonts w:ascii="仿宋_GB2312" w:eastAsia="仿宋_GB2312"/>
                <w:sz w:val="24"/>
                <w:szCs w:val="24"/>
              </w:rPr>
            </w:pPr>
            <w:r>
              <w:rPr>
                <w:rFonts w:hint="eastAsia" w:ascii="仿宋_GB2312" w:eastAsia="仿宋_GB2312"/>
                <w:sz w:val="24"/>
                <w:szCs w:val="24"/>
              </w:rPr>
              <w:t>审批单标题：关于XXX的请示/申请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639" w:type="dxa"/>
            <w:gridSpan w:val="2"/>
            <w:noWrap/>
            <w:vAlign w:val="center"/>
          </w:tcPr>
          <w:p>
            <w:pPr>
              <w:spacing w:line="360" w:lineRule="auto"/>
              <w:rPr>
                <w:rFonts w:ascii="仿宋_GB2312" w:eastAsia="仿宋_GB2312"/>
                <w:sz w:val="24"/>
                <w:szCs w:val="24"/>
              </w:rPr>
            </w:pPr>
            <w:r>
              <w:rPr>
                <w:rFonts w:hint="eastAsia" w:ascii="仿宋_GB2312" w:eastAsia="仿宋_GB2312"/>
                <w:sz w:val="24"/>
                <w:szCs w:val="24"/>
              </w:rPr>
              <w:t>是否用印：□是□否用印类型：XXX章</w:t>
            </w:r>
          </w:p>
          <w:p>
            <w:pPr>
              <w:spacing w:line="360" w:lineRule="auto"/>
              <w:rPr>
                <w:rFonts w:ascii="仿宋_GB2312" w:eastAsia="仿宋_GB2312"/>
                <w:sz w:val="24"/>
                <w:szCs w:val="24"/>
              </w:rPr>
            </w:pPr>
            <w:r>
              <w:rPr>
                <w:rFonts w:hint="eastAsia" w:ascii="仿宋_GB2312" w:eastAsia="仿宋_GB2312"/>
                <w:sz w:val="24"/>
                <w:szCs w:val="24"/>
              </w:rPr>
              <w:t>用款金额：XXXX元/万元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639" w:type="dxa"/>
            <w:gridSpan w:val="2"/>
            <w:noWrap/>
          </w:tcPr>
          <w:p>
            <w:pPr>
              <w:spacing w:line="360" w:lineRule="auto"/>
              <w:rPr>
                <w:rFonts w:ascii="仿宋_GB2312" w:eastAsia="仿宋_GB2312"/>
                <w:sz w:val="24"/>
                <w:szCs w:val="24"/>
              </w:rPr>
            </w:pPr>
            <w:r>
              <w:rPr>
                <w:rFonts w:hint="eastAsia" w:ascii="仿宋_GB2312" w:eastAsia="仿宋_GB2312"/>
                <w:sz w:val="24"/>
                <w:szCs w:val="24"/>
              </w:rPr>
              <w:t>事由：</w:t>
            </w:r>
          </w:p>
          <w:p>
            <w:pPr>
              <w:spacing w:line="360" w:lineRule="auto"/>
              <w:ind w:firstLine="480"/>
              <w:rPr>
                <w:rFonts w:ascii="仿宋_GB2312" w:eastAsia="仿宋_GB2312"/>
                <w:sz w:val="24"/>
                <w:szCs w:val="24"/>
              </w:rPr>
            </w:pPr>
          </w:p>
          <w:p>
            <w:pPr>
              <w:spacing w:line="360" w:lineRule="auto"/>
              <w:ind w:firstLine="480"/>
              <w:rPr>
                <w:rFonts w:ascii="仿宋_GB2312" w:eastAsia="仿宋_GB2312"/>
                <w:sz w:val="24"/>
                <w:szCs w:val="24"/>
              </w:rPr>
            </w:pPr>
          </w:p>
          <w:p>
            <w:pPr>
              <w:spacing w:line="360" w:lineRule="auto"/>
              <w:ind w:firstLine="480"/>
              <w:rPr>
                <w:rFonts w:ascii="仿宋_GB2312" w:eastAsia="仿宋_GB2312"/>
                <w:sz w:val="24"/>
                <w:szCs w:val="24"/>
              </w:rPr>
            </w:pPr>
          </w:p>
          <w:p>
            <w:pPr>
              <w:spacing w:line="360" w:lineRule="auto"/>
              <w:rPr>
                <w:rFonts w:ascii="仿宋_GB2312" w:eastAsia="仿宋_GB2312"/>
                <w:sz w:val="24"/>
                <w:szCs w:val="24"/>
              </w:rPr>
            </w:pPr>
            <w:r>
              <w:rPr>
                <w:rFonts w:hint="eastAsia" w:ascii="仿宋_GB2312" w:eastAsia="仿宋_GB2312"/>
                <w:sz w:val="24"/>
                <w:szCs w:val="24"/>
              </w:rPr>
              <w:t>附件：</w:t>
            </w:r>
          </w:p>
          <w:p>
            <w:pPr>
              <w:spacing w:line="360" w:lineRule="auto"/>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828" w:type="dxa"/>
            <w:vMerge w:val="restart"/>
            <w:noWrap/>
            <w:vAlign w:val="center"/>
          </w:tcPr>
          <w:p>
            <w:pPr>
              <w:spacing w:line="360" w:lineRule="auto"/>
              <w:rPr>
                <w:rFonts w:ascii="仿宋_GB2312" w:eastAsia="仿宋_GB2312"/>
                <w:sz w:val="24"/>
                <w:szCs w:val="24"/>
              </w:rPr>
            </w:pPr>
            <w:r>
              <w:rPr>
                <w:rFonts w:hint="eastAsia" w:ascii="仿宋_GB2312" w:eastAsia="仿宋_GB2312"/>
                <w:sz w:val="24"/>
                <w:szCs w:val="24"/>
              </w:rPr>
              <w:t>监管中介评审意见</w:t>
            </w:r>
          </w:p>
        </w:tc>
        <w:tc>
          <w:tcPr>
            <w:tcW w:w="5811" w:type="dxa"/>
            <w:noWrap/>
            <w:vAlign w:val="center"/>
          </w:tcPr>
          <w:p>
            <w:pPr>
              <w:spacing w:line="360" w:lineRule="auto"/>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828" w:type="dxa"/>
            <w:vMerge w:val="continue"/>
            <w:noWrap/>
            <w:vAlign w:val="center"/>
          </w:tcPr>
          <w:p>
            <w:pPr>
              <w:spacing w:line="360" w:lineRule="auto"/>
              <w:rPr>
                <w:rFonts w:ascii="仿宋_GB2312" w:eastAsia="仿宋_GB2312"/>
                <w:sz w:val="24"/>
                <w:szCs w:val="24"/>
              </w:rPr>
            </w:pPr>
          </w:p>
        </w:tc>
        <w:tc>
          <w:tcPr>
            <w:tcW w:w="5811" w:type="dxa"/>
            <w:noWrap/>
            <w:vAlign w:val="center"/>
          </w:tcPr>
          <w:p>
            <w:pPr>
              <w:spacing w:line="360" w:lineRule="auto"/>
              <w:rPr>
                <w:rFonts w:ascii="仿宋_GB2312" w:eastAsia="仿宋_GB2312"/>
                <w:sz w:val="24"/>
                <w:szCs w:val="24"/>
              </w:rPr>
            </w:pPr>
            <w:r>
              <w:rPr>
                <w:rFonts w:hint="eastAsia" w:ascii="仿宋_GB2312" w:eastAsia="仿宋_GB2312"/>
                <w:sz w:val="24"/>
                <w:szCs w:val="24"/>
              </w:rPr>
              <w:t>审核人：复核人：审定人：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828" w:type="dxa"/>
            <w:noWrap/>
            <w:vAlign w:val="center"/>
          </w:tcPr>
          <w:p>
            <w:pPr>
              <w:spacing w:line="360" w:lineRule="auto"/>
              <w:rPr>
                <w:rFonts w:ascii="仿宋_GB2312" w:eastAsia="仿宋_GB2312"/>
                <w:sz w:val="24"/>
                <w:szCs w:val="24"/>
              </w:rPr>
            </w:pPr>
            <w:r>
              <w:rPr>
                <w:rFonts w:hint="eastAsia" w:ascii="仿宋_GB2312" w:eastAsia="仿宋_GB2312"/>
                <w:sz w:val="24"/>
                <w:szCs w:val="24"/>
              </w:rPr>
              <w:t>五矿信托项目组业务部经办人意见</w:t>
            </w:r>
          </w:p>
        </w:tc>
        <w:tc>
          <w:tcPr>
            <w:tcW w:w="5811" w:type="dxa"/>
            <w:noWrap/>
            <w:vAlign w:val="center"/>
          </w:tcPr>
          <w:p>
            <w:pPr>
              <w:spacing w:line="360" w:lineRule="auto"/>
              <w:ind w:firstLine="240" w:firstLineChars="100"/>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828" w:type="dxa"/>
            <w:noWrap/>
            <w:vAlign w:val="center"/>
          </w:tcPr>
          <w:p>
            <w:pPr>
              <w:spacing w:line="360" w:lineRule="auto"/>
              <w:rPr>
                <w:rFonts w:ascii="仿宋_GB2312" w:eastAsia="仿宋_GB2312"/>
                <w:sz w:val="24"/>
                <w:szCs w:val="24"/>
              </w:rPr>
            </w:pPr>
            <w:r>
              <w:rPr>
                <w:rFonts w:hint="eastAsia" w:ascii="仿宋_GB2312" w:eastAsia="仿宋_GB2312"/>
                <w:sz w:val="24"/>
                <w:szCs w:val="24"/>
              </w:rPr>
              <w:t>五矿信托项目组业务部总经理或授权人意见</w:t>
            </w:r>
          </w:p>
        </w:tc>
        <w:tc>
          <w:tcPr>
            <w:tcW w:w="5811" w:type="dxa"/>
            <w:noWrap/>
            <w:vAlign w:val="center"/>
          </w:tcPr>
          <w:p>
            <w:pPr>
              <w:spacing w:line="360" w:lineRule="auto"/>
              <w:ind w:firstLine="240" w:firstLineChars="100"/>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28" w:type="dxa"/>
            <w:noWrap/>
            <w:vAlign w:val="center"/>
          </w:tcPr>
          <w:p>
            <w:pPr>
              <w:spacing w:line="360" w:lineRule="auto"/>
              <w:rPr>
                <w:rFonts w:ascii="仿宋_GB2312" w:eastAsia="仿宋_GB2312"/>
                <w:sz w:val="24"/>
                <w:szCs w:val="24"/>
              </w:rPr>
            </w:pPr>
            <w:r>
              <w:rPr>
                <w:rFonts w:hint="eastAsia" w:ascii="仿宋_GB2312" w:eastAsia="仿宋_GB2312"/>
                <w:sz w:val="24"/>
                <w:szCs w:val="24"/>
              </w:rPr>
              <w:t>五矿信托运营管理总部主审意见</w:t>
            </w:r>
          </w:p>
        </w:tc>
        <w:tc>
          <w:tcPr>
            <w:tcW w:w="5811" w:type="dxa"/>
            <w:noWrap/>
            <w:vAlign w:val="center"/>
          </w:tcPr>
          <w:p>
            <w:pPr>
              <w:spacing w:line="360" w:lineRule="auto"/>
              <w:ind w:firstLine="240" w:firstLineChars="100"/>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828" w:type="dxa"/>
            <w:noWrap/>
            <w:vAlign w:val="center"/>
          </w:tcPr>
          <w:p>
            <w:pPr>
              <w:spacing w:line="360" w:lineRule="auto"/>
              <w:rPr>
                <w:rFonts w:ascii="仿宋_GB2312" w:eastAsia="仿宋_GB2312"/>
                <w:sz w:val="24"/>
                <w:szCs w:val="24"/>
              </w:rPr>
            </w:pPr>
            <w:r>
              <w:rPr>
                <w:rFonts w:hint="eastAsia" w:ascii="仿宋_GB2312" w:eastAsia="仿宋_GB2312"/>
                <w:sz w:val="24"/>
                <w:szCs w:val="24"/>
              </w:rPr>
              <w:t>五矿信托运营管理总部副总经理或授权人意见</w:t>
            </w:r>
          </w:p>
        </w:tc>
        <w:tc>
          <w:tcPr>
            <w:tcW w:w="5811" w:type="dxa"/>
            <w:noWrap/>
            <w:vAlign w:val="center"/>
          </w:tcPr>
          <w:p>
            <w:pPr>
              <w:spacing w:line="360" w:lineRule="auto"/>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828" w:type="dxa"/>
            <w:noWrap/>
            <w:vAlign w:val="center"/>
          </w:tcPr>
          <w:p>
            <w:pPr>
              <w:spacing w:line="360" w:lineRule="auto"/>
              <w:rPr>
                <w:rFonts w:ascii="仿宋_GB2312" w:eastAsia="仿宋_GB2312"/>
                <w:sz w:val="24"/>
                <w:szCs w:val="24"/>
              </w:rPr>
            </w:pPr>
            <w:r>
              <w:rPr>
                <w:rFonts w:hint="eastAsia" w:ascii="仿宋_GB2312" w:eastAsia="仿宋_GB2312"/>
                <w:sz w:val="24"/>
                <w:szCs w:val="24"/>
              </w:rPr>
              <w:t>五矿信托运管管理总部总经理/分管领导意见</w:t>
            </w:r>
          </w:p>
        </w:tc>
        <w:tc>
          <w:tcPr>
            <w:tcW w:w="5811" w:type="dxa"/>
            <w:noWrap/>
            <w:vAlign w:val="center"/>
          </w:tcPr>
          <w:p>
            <w:pPr>
              <w:spacing w:line="360" w:lineRule="auto"/>
              <w:rPr>
                <w:rFonts w:ascii="仿宋_GB2312" w:eastAsia="仿宋_GB2312"/>
                <w:sz w:val="24"/>
                <w:szCs w:val="24"/>
              </w:rPr>
            </w:pPr>
          </w:p>
        </w:tc>
      </w:tr>
    </w:tbl>
    <w:p>
      <w:pPr>
        <w:spacing w:line="360" w:lineRule="auto"/>
        <w:rPr>
          <w:rFonts w:ascii="仿宋_GB2312" w:eastAsia="仿宋_GB2312"/>
          <w:bCs/>
          <w:szCs w:val="21"/>
        </w:rPr>
      </w:pPr>
    </w:p>
    <w:p>
      <w:pPr>
        <w:pStyle w:val="5"/>
        <w:spacing w:before="160" w:line="360" w:lineRule="auto"/>
        <w:ind w:left="6933"/>
        <w:jc w:val="both"/>
        <w:rPr>
          <w:rFonts w:ascii="仿宋_GB2312" w:eastAsia="仿宋_GB2312"/>
        </w:rPr>
      </w:pPr>
    </w:p>
    <w:p>
      <w:pPr>
        <w:spacing w:line="360" w:lineRule="auto"/>
        <w:rPr>
          <w:rFonts w:ascii="仿宋_GB2312" w:eastAsia="仿宋_GB2312"/>
        </w:rPr>
      </w:pPr>
    </w:p>
    <w:p>
      <w:pPr>
        <w:widowControl/>
        <w:spacing w:line="360" w:lineRule="auto"/>
        <w:jc w:val="left"/>
        <w:rPr>
          <w:rFonts w:ascii="楷体" w:hAnsi="楷体" w:eastAsia="楷体"/>
          <w:color w:val="000000"/>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14BC5"/>
    <w:multiLevelType w:val="multilevel"/>
    <w:tmpl w:val="5FB14BC5"/>
    <w:lvl w:ilvl="0" w:tentative="0">
      <w:start w:val="1"/>
      <w:numFmt w:val="decimal"/>
      <w:lvlText w:val="（%1）"/>
      <w:lvlJc w:val="left"/>
      <w:pPr>
        <w:ind w:left="480" w:hanging="480"/>
      </w:pPr>
      <w:rPr>
        <w:rFonts w:hint="eastAsia"/>
        <w:color w:val="auto"/>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2313242"/>
    <w:multiLevelType w:val="multilevel"/>
    <w:tmpl w:val="62313242"/>
    <w:lvl w:ilvl="0" w:tentative="0">
      <w:start w:val="1"/>
      <w:numFmt w:val="decimal"/>
      <w:lvlText w:val="（%1）"/>
      <w:lvlJc w:val="left"/>
      <w:pPr>
        <w:ind w:left="480" w:hanging="480"/>
      </w:pPr>
      <w:rPr>
        <w:rFonts w:hint="eastAsia"/>
        <w:color w:val="auto"/>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6D603D01"/>
    <w:multiLevelType w:val="multilevel"/>
    <w:tmpl w:val="6D603D01"/>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 Y">
    <w15:presenceInfo w15:providerId="None" w15:userId="Xue 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75"/>
    <w:rsid w:val="00011E3E"/>
    <w:rsid w:val="00013BA2"/>
    <w:rsid w:val="00014B4C"/>
    <w:rsid w:val="00016CE5"/>
    <w:rsid w:val="00020B7B"/>
    <w:rsid w:val="00032A58"/>
    <w:rsid w:val="00034348"/>
    <w:rsid w:val="00046052"/>
    <w:rsid w:val="00051CB5"/>
    <w:rsid w:val="000535DD"/>
    <w:rsid w:val="000551CC"/>
    <w:rsid w:val="00055C35"/>
    <w:rsid w:val="00056641"/>
    <w:rsid w:val="00064063"/>
    <w:rsid w:val="00064BF0"/>
    <w:rsid w:val="000718A1"/>
    <w:rsid w:val="00072639"/>
    <w:rsid w:val="000759B6"/>
    <w:rsid w:val="00075D86"/>
    <w:rsid w:val="00075DD7"/>
    <w:rsid w:val="00077036"/>
    <w:rsid w:val="000865D4"/>
    <w:rsid w:val="00094471"/>
    <w:rsid w:val="00095517"/>
    <w:rsid w:val="00096955"/>
    <w:rsid w:val="000971F9"/>
    <w:rsid w:val="000A0AA0"/>
    <w:rsid w:val="000A5675"/>
    <w:rsid w:val="000A68E3"/>
    <w:rsid w:val="000A6AEA"/>
    <w:rsid w:val="000A74F2"/>
    <w:rsid w:val="000B00CC"/>
    <w:rsid w:val="000B0A64"/>
    <w:rsid w:val="000B78C4"/>
    <w:rsid w:val="000C370C"/>
    <w:rsid w:val="000C3C6B"/>
    <w:rsid w:val="000C727E"/>
    <w:rsid w:val="000D067E"/>
    <w:rsid w:val="000D0B54"/>
    <w:rsid w:val="000D337F"/>
    <w:rsid w:val="000D3E28"/>
    <w:rsid w:val="000D3E78"/>
    <w:rsid w:val="000D49B5"/>
    <w:rsid w:val="000D4D9C"/>
    <w:rsid w:val="000D5449"/>
    <w:rsid w:val="000D60AA"/>
    <w:rsid w:val="000D6D85"/>
    <w:rsid w:val="000E100F"/>
    <w:rsid w:val="000E182D"/>
    <w:rsid w:val="000E2EEB"/>
    <w:rsid w:val="000E2F02"/>
    <w:rsid w:val="000E54A1"/>
    <w:rsid w:val="000E5A34"/>
    <w:rsid w:val="000F5D20"/>
    <w:rsid w:val="0010126B"/>
    <w:rsid w:val="00101308"/>
    <w:rsid w:val="0010301C"/>
    <w:rsid w:val="001044B0"/>
    <w:rsid w:val="00104876"/>
    <w:rsid w:val="001051E9"/>
    <w:rsid w:val="00107C88"/>
    <w:rsid w:val="00114708"/>
    <w:rsid w:val="00116E5E"/>
    <w:rsid w:val="0012022A"/>
    <w:rsid w:val="00120605"/>
    <w:rsid w:val="0012405D"/>
    <w:rsid w:val="00124712"/>
    <w:rsid w:val="00125F39"/>
    <w:rsid w:val="00126C62"/>
    <w:rsid w:val="00130C50"/>
    <w:rsid w:val="001323DA"/>
    <w:rsid w:val="00134A33"/>
    <w:rsid w:val="0014258E"/>
    <w:rsid w:val="00142E56"/>
    <w:rsid w:val="00142E81"/>
    <w:rsid w:val="00144DEB"/>
    <w:rsid w:val="001518CD"/>
    <w:rsid w:val="0015330E"/>
    <w:rsid w:val="00153869"/>
    <w:rsid w:val="00154958"/>
    <w:rsid w:val="00161B86"/>
    <w:rsid w:val="001623BB"/>
    <w:rsid w:val="00166600"/>
    <w:rsid w:val="00173567"/>
    <w:rsid w:val="001750DA"/>
    <w:rsid w:val="001819B9"/>
    <w:rsid w:val="001873A1"/>
    <w:rsid w:val="00195995"/>
    <w:rsid w:val="001A0935"/>
    <w:rsid w:val="001A0F27"/>
    <w:rsid w:val="001B1A71"/>
    <w:rsid w:val="001B1CFE"/>
    <w:rsid w:val="001B28F0"/>
    <w:rsid w:val="001B4AE9"/>
    <w:rsid w:val="001C133B"/>
    <w:rsid w:val="001C1B15"/>
    <w:rsid w:val="001C415E"/>
    <w:rsid w:val="001C5657"/>
    <w:rsid w:val="001C6436"/>
    <w:rsid w:val="001D082C"/>
    <w:rsid w:val="001D1D0F"/>
    <w:rsid w:val="001D45A5"/>
    <w:rsid w:val="001D65B4"/>
    <w:rsid w:val="001E1467"/>
    <w:rsid w:val="001E2147"/>
    <w:rsid w:val="001F1C0C"/>
    <w:rsid w:val="001F1F6B"/>
    <w:rsid w:val="001F7DC7"/>
    <w:rsid w:val="002003FF"/>
    <w:rsid w:val="0020177C"/>
    <w:rsid w:val="00203E19"/>
    <w:rsid w:val="002066B7"/>
    <w:rsid w:val="002067FF"/>
    <w:rsid w:val="002069AC"/>
    <w:rsid w:val="002106B1"/>
    <w:rsid w:val="0021205D"/>
    <w:rsid w:val="0021317F"/>
    <w:rsid w:val="00224388"/>
    <w:rsid w:val="00232531"/>
    <w:rsid w:val="00237BE9"/>
    <w:rsid w:val="00242447"/>
    <w:rsid w:val="00246C8C"/>
    <w:rsid w:val="00250322"/>
    <w:rsid w:val="002514B2"/>
    <w:rsid w:val="002526DB"/>
    <w:rsid w:val="0025363D"/>
    <w:rsid w:val="002558A1"/>
    <w:rsid w:val="00256172"/>
    <w:rsid w:val="00256788"/>
    <w:rsid w:val="002573C9"/>
    <w:rsid w:val="0026039A"/>
    <w:rsid w:val="00260EE0"/>
    <w:rsid w:val="002620F3"/>
    <w:rsid w:val="00263894"/>
    <w:rsid w:val="00265487"/>
    <w:rsid w:val="00267660"/>
    <w:rsid w:val="002702FB"/>
    <w:rsid w:val="00271F23"/>
    <w:rsid w:val="00274A0E"/>
    <w:rsid w:val="00276B8C"/>
    <w:rsid w:val="00277DDC"/>
    <w:rsid w:val="00286415"/>
    <w:rsid w:val="002870B3"/>
    <w:rsid w:val="002915B0"/>
    <w:rsid w:val="00291D18"/>
    <w:rsid w:val="0029337B"/>
    <w:rsid w:val="002933A6"/>
    <w:rsid w:val="00295B38"/>
    <w:rsid w:val="002B0F8E"/>
    <w:rsid w:val="002B4295"/>
    <w:rsid w:val="002B54C4"/>
    <w:rsid w:val="002B5873"/>
    <w:rsid w:val="002B6649"/>
    <w:rsid w:val="002C46B8"/>
    <w:rsid w:val="002C4E7C"/>
    <w:rsid w:val="002C5E29"/>
    <w:rsid w:val="002D1402"/>
    <w:rsid w:val="002D3047"/>
    <w:rsid w:val="002D34C9"/>
    <w:rsid w:val="002D4B40"/>
    <w:rsid w:val="002E3008"/>
    <w:rsid w:val="002E6950"/>
    <w:rsid w:val="002F43CF"/>
    <w:rsid w:val="002F69CB"/>
    <w:rsid w:val="003020B6"/>
    <w:rsid w:val="00302C36"/>
    <w:rsid w:val="00302C5B"/>
    <w:rsid w:val="003164F7"/>
    <w:rsid w:val="00316B14"/>
    <w:rsid w:val="00323BF5"/>
    <w:rsid w:val="00323F38"/>
    <w:rsid w:val="00325B74"/>
    <w:rsid w:val="00326C0E"/>
    <w:rsid w:val="003272E0"/>
    <w:rsid w:val="003278E6"/>
    <w:rsid w:val="00331427"/>
    <w:rsid w:val="003315E3"/>
    <w:rsid w:val="003321B8"/>
    <w:rsid w:val="0033450E"/>
    <w:rsid w:val="00335660"/>
    <w:rsid w:val="00335A0A"/>
    <w:rsid w:val="00340E31"/>
    <w:rsid w:val="003427FF"/>
    <w:rsid w:val="00342F7B"/>
    <w:rsid w:val="00344006"/>
    <w:rsid w:val="00345641"/>
    <w:rsid w:val="00346323"/>
    <w:rsid w:val="003464A7"/>
    <w:rsid w:val="003513E8"/>
    <w:rsid w:val="00354ACE"/>
    <w:rsid w:val="00355F85"/>
    <w:rsid w:val="003567C2"/>
    <w:rsid w:val="00363C84"/>
    <w:rsid w:val="00364DED"/>
    <w:rsid w:val="00367FDD"/>
    <w:rsid w:val="003711B2"/>
    <w:rsid w:val="00371BD6"/>
    <w:rsid w:val="00371C4F"/>
    <w:rsid w:val="003734C4"/>
    <w:rsid w:val="003807A8"/>
    <w:rsid w:val="003820C3"/>
    <w:rsid w:val="003824E9"/>
    <w:rsid w:val="00382B64"/>
    <w:rsid w:val="003841FB"/>
    <w:rsid w:val="0039793E"/>
    <w:rsid w:val="003A29A3"/>
    <w:rsid w:val="003A3EBC"/>
    <w:rsid w:val="003B1E04"/>
    <w:rsid w:val="003B438E"/>
    <w:rsid w:val="003B483B"/>
    <w:rsid w:val="003B5943"/>
    <w:rsid w:val="003C023D"/>
    <w:rsid w:val="003C20FB"/>
    <w:rsid w:val="003C3B2E"/>
    <w:rsid w:val="003C6199"/>
    <w:rsid w:val="003C6498"/>
    <w:rsid w:val="003C6F1C"/>
    <w:rsid w:val="003D56CA"/>
    <w:rsid w:val="003D6A84"/>
    <w:rsid w:val="003D6A8E"/>
    <w:rsid w:val="003D6EA1"/>
    <w:rsid w:val="003E51AA"/>
    <w:rsid w:val="003E6D25"/>
    <w:rsid w:val="003F07ED"/>
    <w:rsid w:val="003F17D1"/>
    <w:rsid w:val="003F2526"/>
    <w:rsid w:val="003F2E61"/>
    <w:rsid w:val="003F3C22"/>
    <w:rsid w:val="003F3E4E"/>
    <w:rsid w:val="003F4AE9"/>
    <w:rsid w:val="004039AB"/>
    <w:rsid w:val="00405ADC"/>
    <w:rsid w:val="00411D8A"/>
    <w:rsid w:val="00416F61"/>
    <w:rsid w:val="0042100C"/>
    <w:rsid w:val="00427F66"/>
    <w:rsid w:val="00430CF5"/>
    <w:rsid w:val="00433065"/>
    <w:rsid w:val="00434C2A"/>
    <w:rsid w:val="00435B8B"/>
    <w:rsid w:val="00435D65"/>
    <w:rsid w:val="00437D3C"/>
    <w:rsid w:val="00444B01"/>
    <w:rsid w:val="00452E63"/>
    <w:rsid w:val="00453203"/>
    <w:rsid w:val="00455077"/>
    <w:rsid w:val="0045572F"/>
    <w:rsid w:val="004629AB"/>
    <w:rsid w:val="00463E12"/>
    <w:rsid w:val="004645A7"/>
    <w:rsid w:val="00466ADE"/>
    <w:rsid w:val="00472962"/>
    <w:rsid w:val="00473D84"/>
    <w:rsid w:val="00480CE0"/>
    <w:rsid w:val="004816EB"/>
    <w:rsid w:val="004864BE"/>
    <w:rsid w:val="004935CC"/>
    <w:rsid w:val="004937B3"/>
    <w:rsid w:val="0049450A"/>
    <w:rsid w:val="004970B8"/>
    <w:rsid w:val="004978BE"/>
    <w:rsid w:val="004A023C"/>
    <w:rsid w:val="004A19F2"/>
    <w:rsid w:val="004A22D5"/>
    <w:rsid w:val="004A5ADD"/>
    <w:rsid w:val="004A6CBA"/>
    <w:rsid w:val="004B4EA0"/>
    <w:rsid w:val="004B5BBD"/>
    <w:rsid w:val="004B5DE8"/>
    <w:rsid w:val="004C31C6"/>
    <w:rsid w:val="004C39B5"/>
    <w:rsid w:val="004C46AB"/>
    <w:rsid w:val="004D2AF2"/>
    <w:rsid w:val="004D50D4"/>
    <w:rsid w:val="004D6CA4"/>
    <w:rsid w:val="004E1847"/>
    <w:rsid w:val="00500FC3"/>
    <w:rsid w:val="00514B85"/>
    <w:rsid w:val="00516A5F"/>
    <w:rsid w:val="005175AD"/>
    <w:rsid w:val="0051760B"/>
    <w:rsid w:val="005209AB"/>
    <w:rsid w:val="005219DE"/>
    <w:rsid w:val="00521E53"/>
    <w:rsid w:val="005256AF"/>
    <w:rsid w:val="00527E5E"/>
    <w:rsid w:val="005365C2"/>
    <w:rsid w:val="00536D9B"/>
    <w:rsid w:val="0054693D"/>
    <w:rsid w:val="0054791C"/>
    <w:rsid w:val="00547B07"/>
    <w:rsid w:val="005523E2"/>
    <w:rsid w:val="005534D1"/>
    <w:rsid w:val="00553501"/>
    <w:rsid w:val="005541E7"/>
    <w:rsid w:val="00554E8F"/>
    <w:rsid w:val="005572E7"/>
    <w:rsid w:val="00560B83"/>
    <w:rsid w:val="00574B83"/>
    <w:rsid w:val="005751EC"/>
    <w:rsid w:val="00586209"/>
    <w:rsid w:val="00587176"/>
    <w:rsid w:val="0059088D"/>
    <w:rsid w:val="00590BCA"/>
    <w:rsid w:val="005912E7"/>
    <w:rsid w:val="00591C02"/>
    <w:rsid w:val="00593E51"/>
    <w:rsid w:val="00595C50"/>
    <w:rsid w:val="005961BF"/>
    <w:rsid w:val="005A0D6E"/>
    <w:rsid w:val="005A236E"/>
    <w:rsid w:val="005A4CF1"/>
    <w:rsid w:val="005A6960"/>
    <w:rsid w:val="005A70E5"/>
    <w:rsid w:val="005B1C78"/>
    <w:rsid w:val="005B254C"/>
    <w:rsid w:val="005B2C7F"/>
    <w:rsid w:val="005B599B"/>
    <w:rsid w:val="005B5C42"/>
    <w:rsid w:val="005B6BF9"/>
    <w:rsid w:val="005B729D"/>
    <w:rsid w:val="005C0C41"/>
    <w:rsid w:val="005C23B5"/>
    <w:rsid w:val="005C454E"/>
    <w:rsid w:val="005C651E"/>
    <w:rsid w:val="005D04F9"/>
    <w:rsid w:val="005D07FE"/>
    <w:rsid w:val="005D170C"/>
    <w:rsid w:val="005D2361"/>
    <w:rsid w:val="005D2F99"/>
    <w:rsid w:val="005E068D"/>
    <w:rsid w:val="005E2FE9"/>
    <w:rsid w:val="005E3FA2"/>
    <w:rsid w:val="005E6E70"/>
    <w:rsid w:val="005E7995"/>
    <w:rsid w:val="005F0704"/>
    <w:rsid w:val="00600894"/>
    <w:rsid w:val="0060188C"/>
    <w:rsid w:val="00603BBE"/>
    <w:rsid w:val="006075EC"/>
    <w:rsid w:val="006107AE"/>
    <w:rsid w:val="0062071F"/>
    <w:rsid w:val="00620AFE"/>
    <w:rsid w:val="00620DE0"/>
    <w:rsid w:val="006224DD"/>
    <w:rsid w:val="006241CA"/>
    <w:rsid w:val="00630485"/>
    <w:rsid w:val="00630A2E"/>
    <w:rsid w:val="00632127"/>
    <w:rsid w:val="00633058"/>
    <w:rsid w:val="00634841"/>
    <w:rsid w:val="006358FB"/>
    <w:rsid w:val="00636333"/>
    <w:rsid w:val="00636F63"/>
    <w:rsid w:val="00637B1B"/>
    <w:rsid w:val="006439A8"/>
    <w:rsid w:val="0064657E"/>
    <w:rsid w:val="006516B8"/>
    <w:rsid w:val="00652DE7"/>
    <w:rsid w:val="00653728"/>
    <w:rsid w:val="006546A3"/>
    <w:rsid w:val="006571D9"/>
    <w:rsid w:val="0066125A"/>
    <w:rsid w:val="0066523F"/>
    <w:rsid w:val="00683101"/>
    <w:rsid w:val="00683239"/>
    <w:rsid w:val="006925CB"/>
    <w:rsid w:val="00696238"/>
    <w:rsid w:val="00697513"/>
    <w:rsid w:val="006A0CA7"/>
    <w:rsid w:val="006A141D"/>
    <w:rsid w:val="006A189A"/>
    <w:rsid w:val="006A1DED"/>
    <w:rsid w:val="006A1EE9"/>
    <w:rsid w:val="006A425E"/>
    <w:rsid w:val="006A450B"/>
    <w:rsid w:val="006B0755"/>
    <w:rsid w:val="006B1289"/>
    <w:rsid w:val="006B3787"/>
    <w:rsid w:val="006B681E"/>
    <w:rsid w:val="006B71E7"/>
    <w:rsid w:val="006C276D"/>
    <w:rsid w:val="006C2BE6"/>
    <w:rsid w:val="006C2C96"/>
    <w:rsid w:val="006C7E07"/>
    <w:rsid w:val="006D2840"/>
    <w:rsid w:val="006D31AB"/>
    <w:rsid w:val="006D36C0"/>
    <w:rsid w:val="006E76FB"/>
    <w:rsid w:val="006F6483"/>
    <w:rsid w:val="006F735C"/>
    <w:rsid w:val="007033CF"/>
    <w:rsid w:val="007062F1"/>
    <w:rsid w:val="0071523B"/>
    <w:rsid w:val="007155E6"/>
    <w:rsid w:val="00717FB5"/>
    <w:rsid w:val="00724586"/>
    <w:rsid w:val="0073789C"/>
    <w:rsid w:val="007408E0"/>
    <w:rsid w:val="007448BB"/>
    <w:rsid w:val="00744FC9"/>
    <w:rsid w:val="00745348"/>
    <w:rsid w:val="007501E7"/>
    <w:rsid w:val="00754428"/>
    <w:rsid w:val="00757CA0"/>
    <w:rsid w:val="00757F42"/>
    <w:rsid w:val="0076025F"/>
    <w:rsid w:val="0076059A"/>
    <w:rsid w:val="00760C09"/>
    <w:rsid w:val="00767304"/>
    <w:rsid w:val="007677DE"/>
    <w:rsid w:val="00770991"/>
    <w:rsid w:val="00771C4C"/>
    <w:rsid w:val="007750D8"/>
    <w:rsid w:val="00775970"/>
    <w:rsid w:val="007807C9"/>
    <w:rsid w:val="00780FE0"/>
    <w:rsid w:val="0078447E"/>
    <w:rsid w:val="00784576"/>
    <w:rsid w:val="00791402"/>
    <w:rsid w:val="00792A9D"/>
    <w:rsid w:val="00795B96"/>
    <w:rsid w:val="00797670"/>
    <w:rsid w:val="00797707"/>
    <w:rsid w:val="007A0CBA"/>
    <w:rsid w:val="007A4A3F"/>
    <w:rsid w:val="007A4F09"/>
    <w:rsid w:val="007A577A"/>
    <w:rsid w:val="007A5E26"/>
    <w:rsid w:val="007C09DA"/>
    <w:rsid w:val="007C688F"/>
    <w:rsid w:val="007D0554"/>
    <w:rsid w:val="007D489B"/>
    <w:rsid w:val="007D7EAE"/>
    <w:rsid w:val="007E1AEA"/>
    <w:rsid w:val="007E1C17"/>
    <w:rsid w:val="007E4218"/>
    <w:rsid w:val="007E4AC0"/>
    <w:rsid w:val="007F0B57"/>
    <w:rsid w:val="007F4C1B"/>
    <w:rsid w:val="007F7214"/>
    <w:rsid w:val="00802F75"/>
    <w:rsid w:val="00804D97"/>
    <w:rsid w:val="00806C88"/>
    <w:rsid w:val="00811AB4"/>
    <w:rsid w:val="008133A9"/>
    <w:rsid w:val="00815440"/>
    <w:rsid w:val="0081767C"/>
    <w:rsid w:val="00817F72"/>
    <w:rsid w:val="008200E7"/>
    <w:rsid w:val="00820481"/>
    <w:rsid w:val="008207D2"/>
    <w:rsid w:val="008244DF"/>
    <w:rsid w:val="008257E1"/>
    <w:rsid w:val="008274D1"/>
    <w:rsid w:val="00832258"/>
    <w:rsid w:val="00832709"/>
    <w:rsid w:val="00837D8F"/>
    <w:rsid w:val="0084757C"/>
    <w:rsid w:val="00852B5C"/>
    <w:rsid w:val="00853179"/>
    <w:rsid w:val="00856C1D"/>
    <w:rsid w:val="008614E3"/>
    <w:rsid w:val="008648E1"/>
    <w:rsid w:val="00871B5C"/>
    <w:rsid w:val="008723C5"/>
    <w:rsid w:val="00873571"/>
    <w:rsid w:val="00874ED0"/>
    <w:rsid w:val="00882E14"/>
    <w:rsid w:val="00891B20"/>
    <w:rsid w:val="00893855"/>
    <w:rsid w:val="00893A10"/>
    <w:rsid w:val="008941B9"/>
    <w:rsid w:val="00894D3E"/>
    <w:rsid w:val="00895C0A"/>
    <w:rsid w:val="00897310"/>
    <w:rsid w:val="008A55E4"/>
    <w:rsid w:val="008B1518"/>
    <w:rsid w:val="008B6F1A"/>
    <w:rsid w:val="008B75E0"/>
    <w:rsid w:val="008C16DE"/>
    <w:rsid w:val="008C2C90"/>
    <w:rsid w:val="008C2CAE"/>
    <w:rsid w:val="008C3014"/>
    <w:rsid w:val="008C3FB2"/>
    <w:rsid w:val="008C6660"/>
    <w:rsid w:val="008C6C15"/>
    <w:rsid w:val="008C79B9"/>
    <w:rsid w:val="008D044B"/>
    <w:rsid w:val="008D512B"/>
    <w:rsid w:val="008E4219"/>
    <w:rsid w:val="008E5C45"/>
    <w:rsid w:val="008E7C63"/>
    <w:rsid w:val="008F496F"/>
    <w:rsid w:val="008F6E4C"/>
    <w:rsid w:val="009019B8"/>
    <w:rsid w:val="009026DE"/>
    <w:rsid w:val="00902A40"/>
    <w:rsid w:val="0091063A"/>
    <w:rsid w:val="00912F18"/>
    <w:rsid w:val="00913D2F"/>
    <w:rsid w:val="00914141"/>
    <w:rsid w:val="00914223"/>
    <w:rsid w:val="0091471C"/>
    <w:rsid w:val="00914BF3"/>
    <w:rsid w:val="00916281"/>
    <w:rsid w:val="00930D28"/>
    <w:rsid w:val="0093113B"/>
    <w:rsid w:val="00931F84"/>
    <w:rsid w:val="0093378B"/>
    <w:rsid w:val="009375FE"/>
    <w:rsid w:val="00940BD5"/>
    <w:rsid w:val="00944505"/>
    <w:rsid w:val="00950A77"/>
    <w:rsid w:val="009550DD"/>
    <w:rsid w:val="00956DF0"/>
    <w:rsid w:val="009574DF"/>
    <w:rsid w:val="009617AE"/>
    <w:rsid w:val="00961C12"/>
    <w:rsid w:val="00964139"/>
    <w:rsid w:val="00970110"/>
    <w:rsid w:val="00974920"/>
    <w:rsid w:val="00976B84"/>
    <w:rsid w:val="009810C3"/>
    <w:rsid w:val="009839FC"/>
    <w:rsid w:val="00990068"/>
    <w:rsid w:val="0099042F"/>
    <w:rsid w:val="009927A6"/>
    <w:rsid w:val="00992F2A"/>
    <w:rsid w:val="00993523"/>
    <w:rsid w:val="0099383E"/>
    <w:rsid w:val="009A23A7"/>
    <w:rsid w:val="009A4D1A"/>
    <w:rsid w:val="009A5854"/>
    <w:rsid w:val="009A753C"/>
    <w:rsid w:val="009B3863"/>
    <w:rsid w:val="009B73EE"/>
    <w:rsid w:val="009C26F6"/>
    <w:rsid w:val="009C7364"/>
    <w:rsid w:val="009D2160"/>
    <w:rsid w:val="009D51FF"/>
    <w:rsid w:val="009D5B6D"/>
    <w:rsid w:val="009E1781"/>
    <w:rsid w:val="009E18C4"/>
    <w:rsid w:val="009E2586"/>
    <w:rsid w:val="009E2C8B"/>
    <w:rsid w:val="009E6FF2"/>
    <w:rsid w:val="009F05AF"/>
    <w:rsid w:val="009F255A"/>
    <w:rsid w:val="009F6C8F"/>
    <w:rsid w:val="00A00D10"/>
    <w:rsid w:val="00A02486"/>
    <w:rsid w:val="00A03504"/>
    <w:rsid w:val="00A04537"/>
    <w:rsid w:val="00A0515C"/>
    <w:rsid w:val="00A06F74"/>
    <w:rsid w:val="00A13289"/>
    <w:rsid w:val="00A143E5"/>
    <w:rsid w:val="00A15810"/>
    <w:rsid w:val="00A16EAA"/>
    <w:rsid w:val="00A17121"/>
    <w:rsid w:val="00A1747D"/>
    <w:rsid w:val="00A17C1C"/>
    <w:rsid w:val="00A2213B"/>
    <w:rsid w:val="00A2266E"/>
    <w:rsid w:val="00A2721F"/>
    <w:rsid w:val="00A30B22"/>
    <w:rsid w:val="00A33DD5"/>
    <w:rsid w:val="00A36758"/>
    <w:rsid w:val="00A408E9"/>
    <w:rsid w:val="00A41C7F"/>
    <w:rsid w:val="00A424B3"/>
    <w:rsid w:val="00A50E6B"/>
    <w:rsid w:val="00A54729"/>
    <w:rsid w:val="00A5655B"/>
    <w:rsid w:val="00A568EB"/>
    <w:rsid w:val="00A57C8E"/>
    <w:rsid w:val="00A6041D"/>
    <w:rsid w:val="00A665CB"/>
    <w:rsid w:val="00A7211A"/>
    <w:rsid w:val="00A7457E"/>
    <w:rsid w:val="00A767D8"/>
    <w:rsid w:val="00A76B48"/>
    <w:rsid w:val="00A817F8"/>
    <w:rsid w:val="00A832CF"/>
    <w:rsid w:val="00A83785"/>
    <w:rsid w:val="00A837D0"/>
    <w:rsid w:val="00A858AA"/>
    <w:rsid w:val="00A859EF"/>
    <w:rsid w:val="00A87C40"/>
    <w:rsid w:val="00A9277E"/>
    <w:rsid w:val="00A955E1"/>
    <w:rsid w:val="00A9567E"/>
    <w:rsid w:val="00AA069F"/>
    <w:rsid w:val="00AA259E"/>
    <w:rsid w:val="00AA3076"/>
    <w:rsid w:val="00AA3D1C"/>
    <w:rsid w:val="00AB0CF4"/>
    <w:rsid w:val="00AC1CCF"/>
    <w:rsid w:val="00AC2504"/>
    <w:rsid w:val="00AD424C"/>
    <w:rsid w:val="00AD626F"/>
    <w:rsid w:val="00AE5511"/>
    <w:rsid w:val="00B04BFA"/>
    <w:rsid w:val="00B05629"/>
    <w:rsid w:val="00B05BBE"/>
    <w:rsid w:val="00B07218"/>
    <w:rsid w:val="00B10393"/>
    <w:rsid w:val="00B12406"/>
    <w:rsid w:val="00B224C7"/>
    <w:rsid w:val="00B230CB"/>
    <w:rsid w:val="00B302AA"/>
    <w:rsid w:val="00B304EC"/>
    <w:rsid w:val="00B34D38"/>
    <w:rsid w:val="00B34F12"/>
    <w:rsid w:val="00B35C74"/>
    <w:rsid w:val="00B36162"/>
    <w:rsid w:val="00B4172E"/>
    <w:rsid w:val="00B420C6"/>
    <w:rsid w:val="00B534F0"/>
    <w:rsid w:val="00B54083"/>
    <w:rsid w:val="00B5425B"/>
    <w:rsid w:val="00B555F8"/>
    <w:rsid w:val="00B56D90"/>
    <w:rsid w:val="00B575C6"/>
    <w:rsid w:val="00B60D89"/>
    <w:rsid w:val="00B70EC6"/>
    <w:rsid w:val="00B720AF"/>
    <w:rsid w:val="00B726E7"/>
    <w:rsid w:val="00B769B7"/>
    <w:rsid w:val="00B86CA7"/>
    <w:rsid w:val="00B87F81"/>
    <w:rsid w:val="00B95DF8"/>
    <w:rsid w:val="00B95EE8"/>
    <w:rsid w:val="00BA0057"/>
    <w:rsid w:val="00BA0166"/>
    <w:rsid w:val="00BA1DB4"/>
    <w:rsid w:val="00BA6DEB"/>
    <w:rsid w:val="00BB0B19"/>
    <w:rsid w:val="00BB28B5"/>
    <w:rsid w:val="00BB5922"/>
    <w:rsid w:val="00BB63EC"/>
    <w:rsid w:val="00BD4028"/>
    <w:rsid w:val="00BE35FD"/>
    <w:rsid w:val="00BE4469"/>
    <w:rsid w:val="00BE4B4A"/>
    <w:rsid w:val="00BE6A36"/>
    <w:rsid w:val="00BF11BF"/>
    <w:rsid w:val="00BF2B50"/>
    <w:rsid w:val="00BF72EB"/>
    <w:rsid w:val="00C00634"/>
    <w:rsid w:val="00C026E7"/>
    <w:rsid w:val="00C0291D"/>
    <w:rsid w:val="00C05BD2"/>
    <w:rsid w:val="00C077BE"/>
    <w:rsid w:val="00C1218D"/>
    <w:rsid w:val="00C14783"/>
    <w:rsid w:val="00C14A32"/>
    <w:rsid w:val="00C17614"/>
    <w:rsid w:val="00C17E74"/>
    <w:rsid w:val="00C30854"/>
    <w:rsid w:val="00C3277D"/>
    <w:rsid w:val="00C34C81"/>
    <w:rsid w:val="00C35A92"/>
    <w:rsid w:val="00C378ED"/>
    <w:rsid w:val="00C37E1F"/>
    <w:rsid w:val="00C42985"/>
    <w:rsid w:val="00C43714"/>
    <w:rsid w:val="00C43CDB"/>
    <w:rsid w:val="00C43E7F"/>
    <w:rsid w:val="00C4641A"/>
    <w:rsid w:val="00C50479"/>
    <w:rsid w:val="00C5063C"/>
    <w:rsid w:val="00C5218D"/>
    <w:rsid w:val="00C5228E"/>
    <w:rsid w:val="00C63632"/>
    <w:rsid w:val="00C74545"/>
    <w:rsid w:val="00C80588"/>
    <w:rsid w:val="00C80AB7"/>
    <w:rsid w:val="00C83DF2"/>
    <w:rsid w:val="00C84A22"/>
    <w:rsid w:val="00C85B50"/>
    <w:rsid w:val="00C90E92"/>
    <w:rsid w:val="00C92C8A"/>
    <w:rsid w:val="00C94B1D"/>
    <w:rsid w:val="00C96C85"/>
    <w:rsid w:val="00C97560"/>
    <w:rsid w:val="00C976D3"/>
    <w:rsid w:val="00C97F74"/>
    <w:rsid w:val="00CB00D1"/>
    <w:rsid w:val="00CB05B4"/>
    <w:rsid w:val="00CB267D"/>
    <w:rsid w:val="00CB2787"/>
    <w:rsid w:val="00CB34F9"/>
    <w:rsid w:val="00CB5672"/>
    <w:rsid w:val="00CB6B33"/>
    <w:rsid w:val="00CC1509"/>
    <w:rsid w:val="00CC3766"/>
    <w:rsid w:val="00CC3CBD"/>
    <w:rsid w:val="00CC4E15"/>
    <w:rsid w:val="00CD08ED"/>
    <w:rsid w:val="00CD11E5"/>
    <w:rsid w:val="00CD18B6"/>
    <w:rsid w:val="00CD238C"/>
    <w:rsid w:val="00CD4ECA"/>
    <w:rsid w:val="00CD63D0"/>
    <w:rsid w:val="00CD6B18"/>
    <w:rsid w:val="00CD7187"/>
    <w:rsid w:val="00CE0D84"/>
    <w:rsid w:val="00CE2AD6"/>
    <w:rsid w:val="00CE738B"/>
    <w:rsid w:val="00CE7892"/>
    <w:rsid w:val="00CE7D58"/>
    <w:rsid w:val="00CF0075"/>
    <w:rsid w:val="00CF2B52"/>
    <w:rsid w:val="00CF612A"/>
    <w:rsid w:val="00CF78BE"/>
    <w:rsid w:val="00D028F8"/>
    <w:rsid w:val="00D076B1"/>
    <w:rsid w:val="00D12775"/>
    <w:rsid w:val="00D15168"/>
    <w:rsid w:val="00D2376C"/>
    <w:rsid w:val="00D24AD7"/>
    <w:rsid w:val="00D25A85"/>
    <w:rsid w:val="00D2675A"/>
    <w:rsid w:val="00D3260B"/>
    <w:rsid w:val="00D34BCE"/>
    <w:rsid w:val="00D34EB4"/>
    <w:rsid w:val="00D362AF"/>
    <w:rsid w:val="00D41D9A"/>
    <w:rsid w:val="00D424B5"/>
    <w:rsid w:val="00D44499"/>
    <w:rsid w:val="00D45BE9"/>
    <w:rsid w:val="00D46628"/>
    <w:rsid w:val="00D54022"/>
    <w:rsid w:val="00D55C35"/>
    <w:rsid w:val="00D603DB"/>
    <w:rsid w:val="00D65BF0"/>
    <w:rsid w:val="00D65C5E"/>
    <w:rsid w:val="00D707A8"/>
    <w:rsid w:val="00D7271B"/>
    <w:rsid w:val="00D75591"/>
    <w:rsid w:val="00D81BFD"/>
    <w:rsid w:val="00D84ECD"/>
    <w:rsid w:val="00D947CE"/>
    <w:rsid w:val="00D968AC"/>
    <w:rsid w:val="00DA11A6"/>
    <w:rsid w:val="00DB45DC"/>
    <w:rsid w:val="00DC1200"/>
    <w:rsid w:val="00DD1B49"/>
    <w:rsid w:val="00DE421B"/>
    <w:rsid w:val="00DF7510"/>
    <w:rsid w:val="00E001F1"/>
    <w:rsid w:val="00E01D9C"/>
    <w:rsid w:val="00E04F5D"/>
    <w:rsid w:val="00E05F6F"/>
    <w:rsid w:val="00E101B7"/>
    <w:rsid w:val="00E10697"/>
    <w:rsid w:val="00E16FE5"/>
    <w:rsid w:val="00E17499"/>
    <w:rsid w:val="00E236DE"/>
    <w:rsid w:val="00E27952"/>
    <w:rsid w:val="00E3717C"/>
    <w:rsid w:val="00E378F3"/>
    <w:rsid w:val="00E43829"/>
    <w:rsid w:val="00E57143"/>
    <w:rsid w:val="00E67658"/>
    <w:rsid w:val="00E75073"/>
    <w:rsid w:val="00E76CB8"/>
    <w:rsid w:val="00E77069"/>
    <w:rsid w:val="00E77D64"/>
    <w:rsid w:val="00E77EF7"/>
    <w:rsid w:val="00E833C8"/>
    <w:rsid w:val="00E83AA7"/>
    <w:rsid w:val="00E854F1"/>
    <w:rsid w:val="00E86946"/>
    <w:rsid w:val="00E87965"/>
    <w:rsid w:val="00E879F9"/>
    <w:rsid w:val="00E9491B"/>
    <w:rsid w:val="00EA0251"/>
    <w:rsid w:val="00EA1000"/>
    <w:rsid w:val="00EA31F5"/>
    <w:rsid w:val="00EA5E72"/>
    <w:rsid w:val="00EA5E73"/>
    <w:rsid w:val="00EB0F8D"/>
    <w:rsid w:val="00EB42B9"/>
    <w:rsid w:val="00EB47D5"/>
    <w:rsid w:val="00EB53C2"/>
    <w:rsid w:val="00EB61AA"/>
    <w:rsid w:val="00EB67E6"/>
    <w:rsid w:val="00EC0811"/>
    <w:rsid w:val="00EC5BB7"/>
    <w:rsid w:val="00EC7E57"/>
    <w:rsid w:val="00ED074B"/>
    <w:rsid w:val="00ED6669"/>
    <w:rsid w:val="00ED732B"/>
    <w:rsid w:val="00EE02D5"/>
    <w:rsid w:val="00EE110F"/>
    <w:rsid w:val="00EE177E"/>
    <w:rsid w:val="00EF16F3"/>
    <w:rsid w:val="00EF2668"/>
    <w:rsid w:val="00EF4667"/>
    <w:rsid w:val="00F01BE6"/>
    <w:rsid w:val="00F0247D"/>
    <w:rsid w:val="00F0304E"/>
    <w:rsid w:val="00F036BA"/>
    <w:rsid w:val="00F0523A"/>
    <w:rsid w:val="00F05BA4"/>
    <w:rsid w:val="00F05BE6"/>
    <w:rsid w:val="00F077DA"/>
    <w:rsid w:val="00F07BE8"/>
    <w:rsid w:val="00F1087E"/>
    <w:rsid w:val="00F1557D"/>
    <w:rsid w:val="00F232CE"/>
    <w:rsid w:val="00F237D2"/>
    <w:rsid w:val="00F2427E"/>
    <w:rsid w:val="00F264A6"/>
    <w:rsid w:val="00F26CC6"/>
    <w:rsid w:val="00F27124"/>
    <w:rsid w:val="00F27CD3"/>
    <w:rsid w:val="00F32ACC"/>
    <w:rsid w:val="00F4047D"/>
    <w:rsid w:val="00F41A1C"/>
    <w:rsid w:val="00F41D1C"/>
    <w:rsid w:val="00F479D2"/>
    <w:rsid w:val="00F47CDD"/>
    <w:rsid w:val="00F52BC6"/>
    <w:rsid w:val="00F532C9"/>
    <w:rsid w:val="00F61673"/>
    <w:rsid w:val="00F64583"/>
    <w:rsid w:val="00F65FCD"/>
    <w:rsid w:val="00F72591"/>
    <w:rsid w:val="00F73C2F"/>
    <w:rsid w:val="00F73D09"/>
    <w:rsid w:val="00F74764"/>
    <w:rsid w:val="00F7487F"/>
    <w:rsid w:val="00F75ED0"/>
    <w:rsid w:val="00F814E9"/>
    <w:rsid w:val="00F817DB"/>
    <w:rsid w:val="00F81974"/>
    <w:rsid w:val="00F81ED3"/>
    <w:rsid w:val="00F84A6F"/>
    <w:rsid w:val="00F86869"/>
    <w:rsid w:val="00F87EAC"/>
    <w:rsid w:val="00F91BA8"/>
    <w:rsid w:val="00F9430D"/>
    <w:rsid w:val="00F9604F"/>
    <w:rsid w:val="00F96AF1"/>
    <w:rsid w:val="00F96CDA"/>
    <w:rsid w:val="00F97A06"/>
    <w:rsid w:val="00FA208A"/>
    <w:rsid w:val="00FA20C2"/>
    <w:rsid w:val="00FA2C46"/>
    <w:rsid w:val="00FA4535"/>
    <w:rsid w:val="00FA6589"/>
    <w:rsid w:val="00FA6E8A"/>
    <w:rsid w:val="00FA7089"/>
    <w:rsid w:val="00FB1E12"/>
    <w:rsid w:val="00FB2D60"/>
    <w:rsid w:val="00FB4C36"/>
    <w:rsid w:val="00FB607E"/>
    <w:rsid w:val="00FB75AA"/>
    <w:rsid w:val="00FC1B18"/>
    <w:rsid w:val="00FC204C"/>
    <w:rsid w:val="00FC2213"/>
    <w:rsid w:val="00FC3970"/>
    <w:rsid w:val="00FC4CFB"/>
    <w:rsid w:val="00FD032C"/>
    <w:rsid w:val="00FD6132"/>
    <w:rsid w:val="00FF07B5"/>
    <w:rsid w:val="00FF3656"/>
    <w:rsid w:val="00FF4C45"/>
    <w:rsid w:val="00FF6463"/>
    <w:rsid w:val="00FF6D7C"/>
    <w:rsid w:val="0AF014A4"/>
    <w:rsid w:val="0E3953E4"/>
    <w:rsid w:val="28D965EC"/>
    <w:rsid w:val="DAFAA6B0"/>
    <w:rsid w:val="F7BF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spacing w:line="360" w:lineRule="auto"/>
      <w:ind w:firstLine="200" w:firstLineChars="200"/>
      <w:outlineLvl w:val="0"/>
    </w:pPr>
    <w:rPr>
      <w:rFonts w:ascii="华文楷体" w:hAnsi="华文楷体"/>
      <w:b/>
      <w:sz w:val="32"/>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Document Map"/>
    <w:basedOn w:val="1"/>
    <w:link w:val="17"/>
    <w:unhideWhenUsed/>
    <w:qFormat/>
    <w:uiPriority w:val="99"/>
    <w:rPr>
      <w:rFonts w:ascii="宋体"/>
      <w:sz w:val="24"/>
      <w:szCs w:val="24"/>
    </w:rPr>
  </w:style>
  <w:style w:type="paragraph" w:styleId="4">
    <w:name w:val="annotation text"/>
    <w:basedOn w:val="1"/>
    <w:link w:val="18"/>
    <w:qFormat/>
    <w:uiPriority w:val="0"/>
    <w:pPr>
      <w:jc w:val="left"/>
    </w:pPr>
  </w:style>
  <w:style w:type="paragraph" w:styleId="5">
    <w:name w:val="Body Text"/>
    <w:link w:val="19"/>
    <w:qFormat/>
    <w:uiPriority w:val="1"/>
    <w:pPr>
      <w:widowControl w:val="0"/>
      <w:autoSpaceDE w:val="0"/>
      <w:autoSpaceDN w:val="0"/>
    </w:pPr>
    <w:rPr>
      <w:rFonts w:ascii="仿宋" w:hAnsi="仿宋" w:eastAsia="仿宋" w:cs="仿宋"/>
      <w:sz w:val="24"/>
      <w:szCs w:val="24"/>
      <w:lang w:val="en-US" w:eastAsia="zh-CN" w:bidi="ar-SA"/>
    </w:rPr>
  </w:style>
  <w:style w:type="paragraph" w:styleId="6">
    <w:name w:val="Date"/>
    <w:basedOn w:val="1"/>
    <w:next w:val="1"/>
    <w:link w:val="20"/>
    <w:unhideWhenUsed/>
    <w:qFormat/>
    <w:uiPriority w:val="99"/>
    <w:pPr>
      <w:ind w:left="100" w:leftChars="2500"/>
    </w:pPr>
  </w:style>
  <w:style w:type="paragraph" w:styleId="7">
    <w:name w:val="Balloon Text"/>
    <w:basedOn w:val="1"/>
    <w:link w:val="21"/>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4"/>
    <w:qFormat/>
    <w:uiPriority w:val="0"/>
    <w:pPr>
      <w:spacing w:before="240" w:after="60" w:line="416" w:lineRule="atLeast"/>
      <w:ind w:firstLine="200" w:firstLineChars="200"/>
      <w:jc w:val="left"/>
      <w:outlineLvl w:val="1"/>
    </w:pPr>
    <w:rPr>
      <w:rFonts w:ascii="Cambria" w:hAnsi="Cambria"/>
      <w:bCs/>
      <w:kern w:val="28"/>
      <w:sz w:val="28"/>
      <w:szCs w:val="32"/>
    </w:rPr>
  </w:style>
  <w:style w:type="paragraph" w:styleId="11">
    <w:name w:val="Title"/>
    <w:basedOn w:val="1"/>
    <w:next w:val="1"/>
    <w:link w:val="25"/>
    <w:qFormat/>
    <w:uiPriority w:val="1"/>
    <w:pPr>
      <w:spacing w:before="240" w:after="60"/>
      <w:jc w:val="center"/>
      <w:outlineLvl w:val="0"/>
    </w:pPr>
    <w:rPr>
      <w:rFonts w:ascii="Cambria" w:hAnsi="Cambria"/>
      <w:b/>
      <w:bCs/>
      <w:sz w:val="32"/>
      <w:szCs w:val="32"/>
    </w:rPr>
  </w:style>
  <w:style w:type="paragraph" w:styleId="12">
    <w:name w:val="annotation subject"/>
    <w:basedOn w:val="4"/>
    <w:next w:val="4"/>
    <w:link w:val="26"/>
    <w:unhideWhenUsed/>
    <w:qFormat/>
    <w:uiPriority w:val="99"/>
    <w:rPr>
      <w:b/>
      <w:bCs/>
    </w:rPr>
  </w:style>
  <w:style w:type="character" w:styleId="15">
    <w:name w:val="annotation reference"/>
    <w:unhideWhenUsed/>
    <w:qFormat/>
    <w:uiPriority w:val="0"/>
    <w:rPr>
      <w:sz w:val="21"/>
      <w:szCs w:val="21"/>
    </w:rPr>
  </w:style>
  <w:style w:type="character" w:customStyle="1" w:styleId="16">
    <w:name w:val="标题 1 字符"/>
    <w:link w:val="2"/>
    <w:qFormat/>
    <w:uiPriority w:val="0"/>
    <w:rPr>
      <w:rFonts w:ascii="华文楷体" w:hAnsi="华文楷体"/>
      <w:b/>
      <w:kern w:val="2"/>
      <w:sz w:val="32"/>
      <w:szCs w:val="28"/>
    </w:rPr>
  </w:style>
  <w:style w:type="character" w:customStyle="1" w:styleId="17">
    <w:name w:val="文档结构图 字符1"/>
    <w:link w:val="3"/>
    <w:semiHidden/>
    <w:qFormat/>
    <w:uiPriority w:val="99"/>
    <w:rPr>
      <w:rFonts w:ascii="宋体" w:hAnsi="Calibri"/>
      <w:kern w:val="2"/>
      <w:sz w:val="24"/>
      <w:szCs w:val="24"/>
    </w:rPr>
  </w:style>
  <w:style w:type="character" w:customStyle="1" w:styleId="18">
    <w:name w:val="批注文字 字符"/>
    <w:link w:val="4"/>
    <w:qFormat/>
    <w:uiPriority w:val="0"/>
  </w:style>
  <w:style w:type="character" w:customStyle="1" w:styleId="19">
    <w:name w:val="正文文本 字符"/>
    <w:link w:val="5"/>
    <w:qFormat/>
    <w:uiPriority w:val="1"/>
    <w:rPr>
      <w:rFonts w:ascii="仿宋" w:hAnsi="仿宋" w:eastAsia="仿宋" w:cs="仿宋"/>
      <w:sz w:val="24"/>
      <w:szCs w:val="24"/>
    </w:rPr>
  </w:style>
  <w:style w:type="character" w:customStyle="1" w:styleId="20">
    <w:name w:val="日期 字符"/>
    <w:link w:val="6"/>
    <w:semiHidden/>
    <w:qFormat/>
    <w:uiPriority w:val="99"/>
    <w:rPr>
      <w:rFonts w:ascii="Calibri" w:hAnsi="Calibri"/>
      <w:kern w:val="2"/>
      <w:sz w:val="21"/>
      <w:szCs w:val="22"/>
    </w:rPr>
  </w:style>
  <w:style w:type="character" w:customStyle="1" w:styleId="21">
    <w:name w:val="批注框文本 字符"/>
    <w:link w:val="7"/>
    <w:semiHidden/>
    <w:qFormat/>
    <w:uiPriority w:val="0"/>
    <w:rPr>
      <w:sz w:val="18"/>
      <w:szCs w:val="18"/>
    </w:rPr>
  </w:style>
  <w:style w:type="character" w:customStyle="1" w:styleId="22">
    <w:name w:val="页脚 字符"/>
    <w:link w:val="8"/>
    <w:qFormat/>
    <w:uiPriority w:val="0"/>
    <w:rPr>
      <w:sz w:val="18"/>
      <w:szCs w:val="18"/>
    </w:rPr>
  </w:style>
  <w:style w:type="character" w:customStyle="1" w:styleId="23">
    <w:name w:val="页眉 字符"/>
    <w:link w:val="9"/>
    <w:semiHidden/>
    <w:qFormat/>
    <w:uiPriority w:val="0"/>
    <w:rPr>
      <w:sz w:val="18"/>
      <w:szCs w:val="18"/>
    </w:rPr>
  </w:style>
  <w:style w:type="character" w:customStyle="1" w:styleId="24">
    <w:name w:val="副标题 字符"/>
    <w:link w:val="10"/>
    <w:qFormat/>
    <w:uiPriority w:val="0"/>
    <w:rPr>
      <w:rFonts w:ascii="Cambria" w:hAnsi="Cambria" w:cs="Times New Roman"/>
      <w:bCs/>
      <w:kern w:val="28"/>
      <w:sz w:val="28"/>
      <w:szCs w:val="32"/>
    </w:rPr>
  </w:style>
  <w:style w:type="character" w:customStyle="1" w:styleId="25">
    <w:name w:val="标题 字符"/>
    <w:link w:val="11"/>
    <w:qFormat/>
    <w:uiPriority w:val="0"/>
    <w:rPr>
      <w:rFonts w:ascii="Cambria" w:hAnsi="Cambria" w:cs="Times New Roman"/>
      <w:b/>
      <w:bCs/>
      <w:kern w:val="2"/>
      <w:sz w:val="32"/>
      <w:szCs w:val="32"/>
    </w:rPr>
  </w:style>
  <w:style w:type="character" w:customStyle="1" w:styleId="26">
    <w:name w:val="批注主题 字符1"/>
    <w:link w:val="12"/>
    <w:semiHidden/>
    <w:qFormat/>
    <w:uiPriority w:val="99"/>
    <w:rPr>
      <w:rFonts w:ascii="Calibri" w:hAnsi="Calibri"/>
      <w:b/>
      <w:bCs/>
      <w:kern w:val="2"/>
      <w:sz w:val="21"/>
      <w:szCs w:val="22"/>
    </w:rPr>
  </w:style>
  <w:style w:type="character" w:customStyle="1" w:styleId="27">
    <w:name w:val="正文文本 (2) + SimHei2"/>
    <w:qFormat/>
    <w:uiPriority w:val="0"/>
    <w:rPr>
      <w:rFonts w:ascii="黑体" w:hAnsi="黑体" w:eastAsia="黑体" w:cs="黑体"/>
      <w:sz w:val="30"/>
      <w:szCs w:val="30"/>
    </w:rPr>
  </w:style>
  <w:style w:type="character" w:customStyle="1" w:styleId="28">
    <w:name w:val="批注主题 字符"/>
    <w:link w:val="29"/>
    <w:semiHidden/>
    <w:qFormat/>
    <w:uiPriority w:val="0"/>
    <w:rPr>
      <w:b/>
      <w:bCs/>
    </w:rPr>
  </w:style>
  <w:style w:type="paragraph" w:customStyle="1" w:styleId="29">
    <w:name w:val="批注主题1"/>
    <w:basedOn w:val="4"/>
    <w:next w:val="4"/>
    <w:link w:val="28"/>
    <w:qFormat/>
    <w:uiPriority w:val="0"/>
    <w:rPr>
      <w:b/>
      <w:bCs/>
    </w:rPr>
  </w:style>
  <w:style w:type="character" w:customStyle="1" w:styleId="30">
    <w:name w:val="批注引用1"/>
    <w:qFormat/>
    <w:uiPriority w:val="0"/>
    <w:rPr>
      <w:sz w:val="21"/>
      <w:szCs w:val="21"/>
    </w:rPr>
  </w:style>
  <w:style w:type="character" w:customStyle="1" w:styleId="31">
    <w:name w:val="文档结构图 字符"/>
    <w:link w:val="32"/>
    <w:semiHidden/>
    <w:qFormat/>
    <w:uiPriority w:val="0"/>
    <w:rPr>
      <w:rFonts w:ascii="宋体" w:eastAsia="宋体"/>
      <w:sz w:val="18"/>
      <w:szCs w:val="18"/>
    </w:rPr>
  </w:style>
  <w:style w:type="paragraph" w:customStyle="1" w:styleId="32">
    <w:name w:val="文档结构图1"/>
    <w:basedOn w:val="1"/>
    <w:link w:val="31"/>
    <w:qFormat/>
    <w:uiPriority w:val="0"/>
    <w:rPr>
      <w:rFonts w:ascii="宋体"/>
      <w:sz w:val="18"/>
      <w:szCs w:val="18"/>
    </w:rPr>
  </w:style>
  <w:style w:type="character" w:customStyle="1" w:styleId="33">
    <w:name w:val="批注引用2"/>
    <w:qFormat/>
    <w:uiPriority w:val="0"/>
    <w:rPr>
      <w:sz w:val="21"/>
      <w:szCs w:val="21"/>
    </w:rPr>
  </w:style>
  <w:style w:type="paragraph" w:customStyle="1" w:styleId="34">
    <w:name w:val="修订1"/>
    <w:semiHidden/>
    <w:qFormat/>
    <w:uiPriority w:val="99"/>
    <w:rPr>
      <w:rFonts w:ascii="Calibri" w:hAnsi="Calibri" w:eastAsia="宋体" w:cs="Times New Roman"/>
      <w:kern w:val="2"/>
      <w:sz w:val="21"/>
      <w:szCs w:val="22"/>
      <w:lang w:val="en-US" w:eastAsia="zh-CN" w:bidi="ar-SA"/>
    </w:rPr>
  </w:style>
  <w:style w:type="paragraph" w:customStyle="1" w:styleId="35">
    <w:name w:val="修订11"/>
    <w:qFormat/>
    <w:uiPriority w:val="0"/>
    <w:rPr>
      <w:rFonts w:ascii="Times New Roman" w:hAnsi="Times New Roman" w:eastAsia="宋体" w:cs="Times New Roman"/>
      <w:lang w:val="en-US" w:eastAsia="zh-CN" w:bidi="ar-SA"/>
    </w:rPr>
  </w:style>
  <w:style w:type="paragraph" w:customStyle="1" w:styleId="36">
    <w:name w:val="列出段落2"/>
    <w:basedOn w:val="1"/>
    <w:qFormat/>
    <w:uiPriority w:val="0"/>
    <w:pPr>
      <w:ind w:firstLine="420" w:firstLineChars="200"/>
    </w:pPr>
    <w:rPr>
      <w:rFonts w:ascii="Times New Roman" w:hAnsi="Times New Roman"/>
      <w:szCs w:val="24"/>
    </w:rPr>
  </w:style>
  <w:style w:type="paragraph" w:customStyle="1" w:styleId="37">
    <w:name w:val="列出段落1"/>
    <w:basedOn w:val="1"/>
    <w:qFormat/>
    <w:uiPriority w:val="0"/>
    <w:pPr>
      <w:ind w:firstLine="420" w:firstLineChars="200"/>
    </w:pPr>
    <w:rPr>
      <w:rFonts w:ascii="Times New Roman" w:hAnsi="Times New Roman"/>
      <w:szCs w:val="24"/>
    </w:rPr>
  </w:style>
  <w:style w:type="paragraph" w:styleId="38">
    <w:name w:val="List Paragraph"/>
    <w:basedOn w:val="1"/>
    <w:qFormat/>
    <w:uiPriority w:val="99"/>
    <w:pPr>
      <w:autoSpaceDE w:val="0"/>
      <w:autoSpaceDN w:val="0"/>
      <w:ind w:firstLine="420" w:firstLineChars="200"/>
      <w:jc w:val="left"/>
    </w:pPr>
    <w:rPr>
      <w:rFonts w:ascii="仿宋" w:hAnsi="仿宋" w:eastAsia="仿宋" w:cs="仿宋"/>
      <w:kern w:val="0"/>
      <w:sz w:val="22"/>
    </w:rPr>
  </w:style>
  <w:style w:type="paragraph" w:customStyle="1" w:styleId="39">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2564</Words>
  <Characters>14621</Characters>
  <Lines>121</Lines>
  <Paragraphs>34</Paragraphs>
  <TotalTime>5</TotalTime>
  <ScaleCrop>false</ScaleCrop>
  <LinksUpToDate>false</LinksUpToDate>
  <CharactersWithSpaces>17151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2021-05-09T06:39:00Z</dcterms:created>
  <dc:creator>WA00225</dc:creator>
  <cp:lastModifiedBy>Xue Y</cp:lastModifiedBy>
  <dcterms:modified xsi:type="dcterms:W3CDTF">2021-05-11T13:51:17Z</dcterms:modified>
  <dc:title>张莹璐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9B8CC8C21D1349A6B55457F899067EC1</vt:lpwstr>
  </property>
</Properties>
</file>